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2AC2" w:rsidRPr="004B0482" w:rsidRDefault="00101936" w:rsidP="00322AC2">
      <w:pPr>
        <w:spacing w:line="276" w:lineRule="auto"/>
        <w:jc w:val="center"/>
      </w:pPr>
      <w:bookmarkStart w:id="0" w:name="_GoBack"/>
      <w:bookmarkEnd w:id="0"/>
      <w:r>
        <w:rPr>
          <w:noProof/>
          <w:lang w:val="es-419" w:eastAsia="es-419"/>
        </w:rPr>
        <w:drawing>
          <wp:anchor distT="0" distB="0" distL="114300" distR="114300" simplePos="0" relativeHeight="251660288" behindDoc="1" locked="0" layoutInCell="1" allowOverlap="1">
            <wp:simplePos x="0" y="0"/>
            <wp:positionH relativeFrom="column">
              <wp:posOffset>3901440</wp:posOffset>
            </wp:positionH>
            <wp:positionV relativeFrom="paragraph">
              <wp:posOffset>-945515</wp:posOffset>
            </wp:positionV>
            <wp:extent cx="2216150" cy="847725"/>
            <wp:effectExtent l="0" t="0" r="0"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311528" cy="884209"/>
                    </a:xfrm>
                    <a:prstGeom prst="rect">
                      <a:avLst/>
                    </a:prstGeom>
                  </pic:spPr>
                </pic:pic>
              </a:graphicData>
            </a:graphic>
            <wp14:sizeRelH relativeFrom="margin">
              <wp14:pctWidth>0</wp14:pctWidth>
            </wp14:sizeRelH>
            <wp14:sizeRelV relativeFrom="margin">
              <wp14:pctHeight>0</wp14:pctHeight>
            </wp14:sizeRelV>
          </wp:anchor>
        </w:drawing>
      </w:r>
      <w:r w:rsidR="00322AC2" w:rsidRPr="004B0482">
        <w:rPr>
          <w:b/>
        </w:rPr>
        <w:t>MEMORANDO</w:t>
      </w:r>
    </w:p>
    <w:p w:rsidR="008B282B" w:rsidRDefault="008B282B" w:rsidP="00322AC2">
      <w:pPr>
        <w:rPr>
          <w:sz w:val="22"/>
          <w:szCs w:val="22"/>
        </w:rPr>
      </w:pPr>
    </w:p>
    <w:p w:rsidR="00322AC2" w:rsidRPr="004B0482" w:rsidRDefault="00322AC2" w:rsidP="00322AC2">
      <w:r w:rsidRPr="004B0482">
        <w:t>Doctor</w:t>
      </w:r>
    </w:p>
    <w:p w:rsidR="00322AC2" w:rsidRPr="004B0482" w:rsidRDefault="00322AC2" w:rsidP="00322AC2">
      <w:pPr>
        <w:rPr>
          <w:b/>
        </w:rPr>
      </w:pPr>
      <w:r w:rsidRPr="004B0482">
        <w:rPr>
          <w:b/>
        </w:rPr>
        <w:t>David Garzón Fandiño</w:t>
      </w:r>
    </w:p>
    <w:p w:rsidR="00322AC2" w:rsidRPr="004B0482" w:rsidRDefault="00322AC2" w:rsidP="00322AC2">
      <w:r w:rsidRPr="004B0482">
        <w:t xml:space="preserve">Subsecretario Comisión Segunda de Gobierno </w:t>
      </w:r>
    </w:p>
    <w:p w:rsidR="00322AC2" w:rsidRPr="004B0482" w:rsidRDefault="00322AC2" w:rsidP="00322AC2">
      <w:r w:rsidRPr="004B0482">
        <w:t>Concejo de Bogotá</w:t>
      </w:r>
    </w:p>
    <w:p w:rsidR="00322AC2" w:rsidRPr="004B0482" w:rsidRDefault="00322AC2" w:rsidP="00322AC2">
      <w:r w:rsidRPr="004B0482">
        <w:t>Bogotá D.C.</w:t>
      </w:r>
    </w:p>
    <w:p w:rsidR="00322AC2" w:rsidRPr="004B0482" w:rsidRDefault="00322AC2" w:rsidP="00322AC2">
      <w:pPr>
        <w:widowControl w:val="0"/>
        <w:spacing w:before="240" w:after="240" w:line="276" w:lineRule="auto"/>
      </w:pPr>
      <w:r w:rsidRPr="004B0482">
        <w:rPr>
          <w:b/>
        </w:rPr>
        <w:t xml:space="preserve">Asunto: </w:t>
      </w:r>
      <w:r w:rsidRPr="004B0482">
        <w:t xml:space="preserve">Presentación ponencia </w:t>
      </w:r>
      <w:r w:rsidRPr="004B0482">
        <w:rPr>
          <w:highlight w:val="white"/>
        </w:rPr>
        <w:t xml:space="preserve">conjunta </w:t>
      </w:r>
      <w:r w:rsidRPr="004B0482">
        <w:t>Proyecto de Acuerdo 191 de 2025</w:t>
      </w:r>
    </w:p>
    <w:p w:rsidR="00322AC2" w:rsidRPr="004B0482" w:rsidRDefault="00322AC2" w:rsidP="00322AC2">
      <w:pPr>
        <w:widowControl w:val="0"/>
        <w:spacing w:before="240" w:after="240" w:line="276" w:lineRule="auto"/>
        <w:jc w:val="both"/>
      </w:pPr>
      <w:r w:rsidRPr="004B0482">
        <w:t>Respetado  doctor, cordial saludo</w:t>
      </w:r>
    </w:p>
    <w:p w:rsidR="00322AC2" w:rsidRPr="004B0482" w:rsidRDefault="00322AC2" w:rsidP="00322AC2">
      <w:pPr>
        <w:widowControl w:val="0"/>
        <w:spacing w:before="240" w:after="240" w:line="276" w:lineRule="auto"/>
        <w:jc w:val="both"/>
      </w:pPr>
      <w:r w:rsidRPr="004B0482">
        <w:t xml:space="preserve">Con un atento saludo, de acuerdo a la designación realizada por la Mesa Directiva del Concejo de Bogotá, D.C. y de conformidad con el Acuerdo 837 de 2022 (Reglamento Interno), y encontrándonos dentro del término reglamentario establecido en el Artículo 71 del Acuerdo 741 de 2019, </w:t>
      </w:r>
      <w:r w:rsidRPr="004B0482">
        <w:rPr>
          <w:b/>
          <w:i/>
          <w:highlight w:val="white"/>
        </w:rPr>
        <w:t>nos permitimos</w:t>
      </w:r>
      <w:r w:rsidRPr="004B0482">
        <w:rPr>
          <w:b/>
          <w:i/>
        </w:rPr>
        <w:t xml:space="preserve"> rendir conjuntamente</w:t>
      </w:r>
      <w:r w:rsidRPr="004B0482">
        <w:rPr>
          <w:i/>
        </w:rPr>
        <w:t xml:space="preserve"> </w:t>
      </w:r>
      <w:r w:rsidRPr="004B0482">
        <w:rPr>
          <w:b/>
          <w:i/>
        </w:rPr>
        <w:t>PONENCIA POSITIVA</w:t>
      </w:r>
      <w:r w:rsidR="00556C55">
        <w:rPr>
          <w:b/>
        </w:rPr>
        <w:t xml:space="preserve"> </w:t>
      </w:r>
      <w:r w:rsidRPr="004B0482">
        <w:t>para primer debate del Proyecto de Acuerdo No.191 de 2025</w:t>
      </w:r>
      <w:r w:rsidR="00556C55">
        <w:t xml:space="preserve"> </w:t>
      </w:r>
      <w:r w:rsidR="00556C55" w:rsidRPr="004B0482">
        <w:rPr>
          <w:b/>
        </w:rPr>
        <w:t>“</w:t>
      </w:r>
      <w:r w:rsidR="00556C55">
        <w:rPr>
          <w:b/>
        </w:rPr>
        <w:t xml:space="preserve">Por el cual se </w:t>
      </w:r>
      <w:r w:rsidR="008F4626">
        <w:rPr>
          <w:b/>
        </w:rPr>
        <w:t>modifica parcialmente el Acuerdo 650 del 2016 y se dictan otras disposiciones</w:t>
      </w:r>
      <w:r w:rsidR="00556C55">
        <w:rPr>
          <w:b/>
          <w:i/>
        </w:rPr>
        <w:t>”</w:t>
      </w:r>
      <w:r w:rsidRPr="004B0482">
        <w:t>, teniendo en cuenta las consideraciones de orden legal y fáctico que son expuestas a continuación.</w:t>
      </w:r>
    </w:p>
    <w:p w:rsidR="002D4CCC" w:rsidRDefault="00322AC2" w:rsidP="00322AC2">
      <w:pPr>
        <w:widowControl w:val="0"/>
        <w:spacing w:before="240" w:after="240" w:line="276" w:lineRule="auto"/>
        <w:rPr>
          <w:sz w:val="22"/>
          <w:szCs w:val="22"/>
        </w:rPr>
      </w:pPr>
      <w:r>
        <w:rPr>
          <w:sz w:val="22"/>
          <w:szCs w:val="22"/>
        </w:rPr>
        <w:t>Cordialmente,</w:t>
      </w:r>
    </w:p>
    <w:p w:rsidR="002D4CCC" w:rsidRDefault="002D4CCC" w:rsidP="00322AC2">
      <w:pPr>
        <w:widowControl w:val="0"/>
        <w:spacing w:before="240" w:after="240" w:line="276" w:lineRule="auto"/>
        <w:rPr>
          <w:noProof/>
          <w:sz w:val="22"/>
          <w:szCs w:val="22"/>
          <w:lang w:val="es-CO"/>
        </w:rPr>
      </w:pPr>
    </w:p>
    <w:p w:rsidR="009C2CBD" w:rsidRDefault="009C2CBD" w:rsidP="00322AC2">
      <w:pPr>
        <w:widowControl w:val="0"/>
        <w:spacing w:before="240" w:after="240" w:line="276" w:lineRule="auto"/>
        <w:rPr>
          <w:sz w:val="22"/>
          <w:szCs w:val="22"/>
        </w:rPr>
      </w:pPr>
    </w:p>
    <w:p w:rsidR="002D4CCC" w:rsidRPr="002D4CCC" w:rsidRDefault="002D4CCC" w:rsidP="002D4CCC">
      <w:pPr>
        <w:widowControl w:val="0"/>
        <w:spacing w:before="240"/>
        <w:rPr>
          <w:b/>
          <w:sz w:val="22"/>
          <w:szCs w:val="22"/>
        </w:rPr>
      </w:pPr>
      <w:r>
        <w:rPr>
          <w:b/>
          <w:sz w:val="22"/>
          <w:szCs w:val="22"/>
        </w:rPr>
        <w:t>H.C. ANDRÉS D</w:t>
      </w:r>
      <w:r w:rsidR="008F4626">
        <w:rPr>
          <w:b/>
          <w:sz w:val="22"/>
          <w:szCs w:val="22"/>
        </w:rPr>
        <w:t>ARÍO ONZAGA</w:t>
      </w:r>
      <w:r w:rsidR="008F4626">
        <w:rPr>
          <w:b/>
          <w:sz w:val="22"/>
          <w:szCs w:val="22"/>
        </w:rPr>
        <w:tab/>
      </w:r>
      <w:r w:rsidR="008F4626">
        <w:rPr>
          <w:b/>
          <w:sz w:val="22"/>
          <w:szCs w:val="22"/>
        </w:rPr>
        <w:tab/>
        <w:t>H.C. ARMANDO GUTIÉ</w:t>
      </w:r>
      <w:r>
        <w:rPr>
          <w:b/>
          <w:sz w:val="22"/>
          <w:szCs w:val="22"/>
        </w:rPr>
        <w:t>RREZ</w:t>
      </w:r>
      <w:r w:rsidR="008F4626">
        <w:rPr>
          <w:b/>
          <w:sz w:val="22"/>
          <w:szCs w:val="22"/>
        </w:rPr>
        <w:t xml:space="preserve"> GONZÁLEZ</w:t>
      </w:r>
    </w:p>
    <w:p w:rsidR="002D4CCC" w:rsidRDefault="002D4CCC" w:rsidP="002D4CCC">
      <w:pPr>
        <w:widowControl w:val="0"/>
        <w:rPr>
          <w:b/>
          <w:sz w:val="22"/>
          <w:szCs w:val="22"/>
        </w:rPr>
      </w:pPr>
      <w:r>
        <w:rPr>
          <w:b/>
          <w:sz w:val="22"/>
          <w:szCs w:val="22"/>
        </w:rPr>
        <w:t>Coordinador Ponente</w:t>
      </w:r>
      <w:r>
        <w:rPr>
          <w:b/>
          <w:sz w:val="22"/>
          <w:szCs w:val="22"/>
        </w:rPr>
        <w:tab/>
      </w:r>
      <w:r>
        <w:rPr>
          <w:b/>
          <w:sz w:val="22"/>
          <w:szCs w:val="22"/>
        </w:rPr>
        <w:tab/>
      </w:r>
      <w:r>
        <w:rPr>
          <w:b/>
          <w:sz w:val="22"/>
          <w:szCs w:val="22"/>
        </w:rPr>
        <w:tab/>
        <w:t>Ponente</w:t>
      </w:r>
    </w:p>
    <w:p w:rsidR="00322AC2" w:rsidRDefault="00322AC2" w:rsidP="00322AC2">
      <w:pPr>
        <w:widowControl w:val="0"/>
        <w:spacing w:before="240" w:after="240" w:line="276" w:lineRule="auto"/>
        <w:rPr>
          <w:sz w:val="22"/>
          <w:szCs w:val="22"/>
        </w:rPr>
      </w:pPr>
      <w:r>
        <w:rPr>
          <w:sz w:val="22"/>
          <w:szCs w:val="22"/>
        </w:rPr>
        <w:t xml:space="preserve">                                       </w:t>
      </w:r>
    </w:p>
    <w:p w:rsidR="00322AC2" w:rsidRPr="002D4CCC" w:rsidRDefault="00322AC2" w:rsidP="00322AC2">
      <w:pPr>
        <w:pBdr>
          <w:top w:val="nil"/>
          <w:left w:val="nil"/>
          <w:bottom w:val="nil"/>
          <w:right w:val="nil"/>
          <w:between w:val="nil"/>
        </w:pBdr>
        <w:tabs>
          <w:tab w:val="left" w:pos="1418"/>
        </w:tabs>
        <w:spacing w:line="276" w:lineRule="auto"/>
        <w:rPr>
          <w:sz w:val="12"/>
          <w:szCs w:val="12"/>
        </w:rPr>
      </w:pPr>
      <w:r w:rsidRPr="002D4CCC">
        <w:rPr>
          <w:sz w:val="12"/>
          <w:szCs w:val="12"/>
        </w:rPr>
        <w:t xml:space="preserve"> Anexos:   Ponencia al Proyecto de Acuerdo N.º 191 de 202</w:t>
      </w:r>
      <w:r w:rsidR="00556C55">
        <w:rPr>
          <w:sz w:val="12"/>
          <w:szCs w:val="12"/>
        </w:rPr>
        <w:t>5</w:t>
      </w:r>
      <w:r w:rsidRPr="00556C55">
        <w:rPr>
          <w:sz w:val="12"/>
          <w:szCs w:val="12"/>
        </w:rPr>
        <w:t xml:space="preserve"> [entre paréntesis, el número total de páginas </w:t>
      </w:r>
      <w:r w:rsidRPr="00556C55">
        <w:rPr>
          <w:sz w:val="12"/>
          <w:szCs w:val="12"/>
          <w:u w:val="single"/>
        </w:rPr>
        <w:t>de la ponencia</w:t>
      </w:r>
      <w:r w:rsidRPr="00556C55">
        <w:rPr>
          <w:sz w:val="12"/>
          <w:szCs w:val="12"/>
        </w:rPr>
        <w:t>, así “(</w:t>
      </w:r>
      <w:r w:rsidR="008F4626">
        <w:rPr>
          <w:sz w:val="12"/>
          <w:szCs w:val="12"/>
        </w:rPr>
        <w:t>37</w:t>
      </w:r>
      <w:r w:rsidRPr="00556C55">
        <w:rPr>
          <w:sz w:val="12"/>
          <w:szCs w:val="12"/>
        </w:rPr>
        <w:t xml:space="preserve"> fls.)”]</w:t>
      </w:r>
      <w:r w:rsidRPr="002D4CCC">
        <w:rPr>
          <w:sz w:val="12"/>
          <w:szCs w:val="12"/>
        </w:rPr>
        <w:t xml:space="preserve"> </w:t>
      </w:r>
    </w:p>
    <w:p w:rsidR="00322AC2" w:rsidRPr="002D4CCC" w:rsidRDefault="00322AC2" w:rsidP="00322AC2">
      <w:pPr>
        <w:rPr>
          <w:sz w:val="12"/>
          <w:szCs w:val="12"/>
        </w:rPr>
      </w:pPr>
      <w:r w:rsidRPr="002D4CCC">
        <w:rPr>
          <w:sz w:val="12"/>
          <w:szCs w:val="12"/>
        </w:rPr>
        <w:t>Copia: N/A</w:t>
      </w:r>
    </w:p>
    <w:p w:rsidR="00322AC2" w:rsidRPr="002D4CCC" w:rsidRDefault="008B282B" w:rsidP="00322AC2">
      <w:pPr>
        <w:rPr>
          <w:sz w:val="12"/>
          <w:szCs w:val="12"/>
          <w:highlight w:val="yellow"/>
        </w:rPr>
      </w:pPr>
      <w:r w:rsidRPr="002D4CCC">
        <w:rPr>
          <w:sz w:val="12"/>
          <w:szCs w:val="12"/>
        </w:rPr>
        <w:t xml:space="preserve">Elaboró: </w:t>
      </w:r>
      <w:r w:rsidR="00322AC2" w:rsidRPr="002D4CCC">
        <w:rPr>
          <w:sz w:val="12"/>
          <w:szCs w:val="12"/>
        </w:rPr>
        <w:t xml:space="preserve"> SD</w:t>
      </w:r>
      <w:r w:rsidRPr="002D4CCC">
        <w:rPr>
          <w:sz w:val="12"/>
          <w:szCs w:val="12"/>
        </w:rPr>
        <w:t xml:space="preserve">P – NEP </w:t>
      </w:r>
    </w:p>
    <w:p w:rsidR="00322AC2" w:rsidRPr="002D4CCC" w:rsidRDefault="00D43757" w:rsidP="00322AC2">
      <w:pPr>
        <w:rPr>
          <w:sz w:val="12"/>
          <w:szCs w:val="12"/>
        </w:rPr>
        <w:sectPr w:rsidR="00322AC2" w:rsidRPr="002D4CCC">
          <w:headerReference w:type="default" r:id="rId9"/>
          <w:footerReference w:type="even" r:id="rId10"/>
          <w:footerReference w:type="default" r:id="rId11"/>
          <w:headerReference w:type="first" r:id="rId12"/>
          <w:footerReference w:type="first" r:id="rId13"/>
          <w:pgSz w:w="12242" w:h="15842"/>
          <w:pgMar w:top="1701" w:right="1701" w:bottom="1701" w:left="1701" w:header="1134" w:footer="851" w:gutter="0"/>
          <w:pgNumType w:start="1"/>
          <w:cols w:space="720"/>
        </w:sectPr>
      </w:pPr>
      <w:r w:rsidRPr="002D4CCC">
        <w:rPr>
          <w:sz w:val="12"/>
          <w:szCs w:val="12"/>
        </w:rPr>
        <w:t>Revisó: DCR</w:t>
      </w:r>
    </w:p>
    <w:p w:rsidR="00AD7EEA" w:rsidRPr="00556C55" w:rsidRDefault="00556C55">
      <w:pPr>
        <w:jc w:val="center"/>
        <w:rPr>
          <w:b/>
        </w:rPr>
      </w:pPr>
      <w:r w:rsidRPr="00556C55">
        <w:rPr>
          <w:b/>
        </w:rPr>
        <w:lastRenderedPageBreak/>
        <w:t>PROYECTO DE ACUERDO NO. 191 DE</w:t>
      </w:r>
      <w:r w:rsidRPr="00556C55">
        <w:rPr>
          <w:b/>
          <w:u w:val="single"/>
        </w:rPr>
        <w:t xml:space="preserve"> </w:t>
      </w:r>
      <w:r w:rsidRPr="00556C55">
        <w:rPr>
          <w:b/>
        </w:rPr>
        <w:t>2025</w:t>
      </w:r>
    </w:p>
    <w:p w:rsidR="00AD7EEA" w:rsidRPr="00556C55" w:rsidRDefault="00AD7EEA">
      <w:pPr>
        <w:rPr>
          <w:b/>
        </w:rPr>
      </w:pPr>
    </w:p>
    <w:p w:rsidR="00AD7EEA" w:rsidRPr="00556C55" w:rsidRDefault="00556C55">
      <w:pPr>
        <w:jc w:val="center"/>
        <w:rPr>
          <w:b/>
        </w:rPr>
      </w:pPr>
      <w:r w:rsidRPr="00556C55">
        <w:rPr>
          <w:b/>
        </w:rPr>
        <w:t>“POR EL CUAL SE MODIFICA PARCIALMENTE EL ACUERDO 650 DEL 2016 Y SE DICTAN OTRAS DISPOSICIONES”</w:t>
      </w:r>
    </w:p>
    <w:p w:rsidR="00AD7EEA" w:rsidRPr="00556C55" w:rsidRDefault="00AD7EEA">
      <w:pPr>
        <w:jc w:val="center"/>
        <w:rPr>
          <w:b/>
        </w:rPr>
      </w:pPr>
    </w:p>
    <w:p w:rsidR="00AD7EEA" w:rsidRPr="00556C55" w:rsidRDefault="00752B1E">
      <w:pPr>
        <w:numPr>
          <w:ilvl w:val="0"/>
          <w:numId w:val="2"/>
        </w:numPr>
        <w:pBdr>
          <w:top w:val="nil"/>
          <w:left w:val="nil"/>
          <w:bottom w:val="nil"/>
          <w:right w:val="nil"/>
          <w:between w:val="nil"/>
        </w:pBdr>
        <w:spacing w:after="160" w:line="259" w:lineRule="auto"/>
        <w:rPr>
          <w:b/>
        </w:rPr>
      </w:pPr>
      <w:r w:rsidRPr="00556C55">
        <w:rPr>
          <w:b/>
        </w:rPr>
        <w:t>Objeto Del Proyecto</w:t>
      </w:r>
    </w:p>
    <w:p w:rsidR="00AD7EEA" w:rsidRPr="00556C55" w:rsidRDefault="00322AC2">
      <w:pPr>
        <w:jc w:val="both"/>
      </w:pPr>
      <w:r w:rsidRPr="00556C55">
        <w:t>Modificar parcialmente el Acuerdo 650 de 2016 “</w:t>
      </w:r>
      <w:r w:rsidRPr="00556C55">
        <w:rPr>
          <w:b/>
        </w:rPr>
        <w:t>P</w:t>
      </w:r>
      <w:r w:rsidRPr="00556C55">
        <w:rPr>
          <w:b/>
          <w:i/>
        </w:rPr>
        <w:t>or medio del cual se crea el programa “Innovadores Escolares en Seguridad Vial”</w:t>
      </w:r>
      <w:r w:rsidRPr="00556C55">
        <w:rPr>
          <w:i/>
        </w:rPr>
        <w:t xml:space="preserve"> en los planes de formación en seguridad vial escolar en el Distrito Capital”</w:t>
      </w:r>
      <w:r w:rsidRPr="00556C55">
        <w:t xml:space="preserve"> y se dictan otras disposiciones”. Con el objetivo de ampliar su cobertura a los Jardines del Distrito y en las Escuelas de padres y madres de familia y cuidadores, en pro del derecho a la vida, del derecho a la integridad personal, así como derechos de protección; bajo el marco de la corresponsabilidad.</w:t>
      </w:r>
    </w:p>
    <w:p w:rsidR="00AD7EEA" w:rsidRPr="00556C55" w:rsidRDefault="00AD7EEA">
      <w:pPr>
        <w:jc w:val="both"/>
      </w:pPr>
    </w:p>
    <w:p w:rsidR="00042913" w:rsidRPr="00556C55" w:rsidRDefault="00042913" w:rsidP="00042913">
      <w:pPr>
        <w:spacing w:line="276" w:lineRule="auto"/>
        <w:jc w:val="both"/>
      </w:pPr>
    </w:p>
    <w:p w:rsidR="00042913" w:rsidRPr="00556C55" w:rsidRDefault="00042913" w:rsidP="00042913">
      <w:pPr>
        <w:pStyle w:val="Prrafodelista"/>
        <w:numPr>
          <w:ilvl w:val="0"/>
          <w:numId w:val="2"/>
        </w:numPr>
        <w:pBdr>
          <w:top w:val="nil"/>
          <w:left w:val="nil"/>
          <w:bottom w:val="nil"/>
          <w:right w:val="nil"/>
          <w:between w:val="nil"/>
        </w:pBdr>
        <w:spacing w:line="276" w:lineRule="auto"/>
        <w:rPr>
          <w:b/>
        </w:rPr>
      </w:pPr>
      <w:r w:rsidRPr="00556C55">
        <w:rPr>
          <w:b/>
        </w:rPr>
        <w:t>Justificación Y Fundamento De La Ponencia</w:t>
      </w:r>
    </w:p>
    <w:p w:rsidR="00042913" w:rsidRPr="00556C55" w:rsidRDefault="00042913" w:rsidP="00042913">
      <w:pPr>
        <w:spacing w:after="200"/>
        <w:jc w:val="both"/>
      </w:pPr>
    </w:p>
    <w:p w:rsidR="00042913" w:rsidRPr="00556C55" w:rsidRDefault="00181544" w:rsidP="00042913">
      <w:pPr>
        <w:jc w:val="both"/>
      </w:pPr>
      <w:r w:rsidRPr="00556C55">
        <w:t xml:space="preserve">Según el autor. </w:t>
      </w:r>
      <w:r w:rsidR="00042913" w:rsidRPr="00556C55">
        <w:t>Es importante resaltar la importancia y el objeto planteado en la presente iniciativa para el Distrito Capital; se pretende, en el sentido del autor, en el presente proyecto de acuerdo se incluye un glosario extenso sobre el tema a tratar, con el objetivo de avizorar el espíritu y sentido que tiene el Autor al proponer esta modificación, en aras de expandir el alcance del Acuerdo.</w:t>
      </w:r>
    </w:p>
    <w:p w:rsidR="00042913" w:rsidRPr="00556C55" w:rsidRDefault="00042913" w:rsidP="00042913">
      <w:pPr>
        <w:jc w:val="both"/>
      </w:pPr>
    </w:p>
    <w:p w:rsidR="00042913" w:rsidRPr="00556C55" w:rsidRDefault="00042913" w:rsidP="00042913">
      <w:pPr>
        <w:jc w:val="both"/>
      </w:pPr>
      <w:r w:rsidRPr="00556C55">
        <w:t>Así mismo, se expresa en el Proyecto de Acuerdo que, teniendo en cuenta la siniestralidad en el mundo y la tasa de mortalidad, se observa una tendencia creciente a causa de siniestros viales, que según cifras de la Organización Mundial de la Salud (OMS) anualmente genera la pérdida de más de 1,24 millones de personas, generando en promedio 3.000 fallecimientos diarios en el mundo.</w:t>
      </w:r>
    </w:p>
    <w:p w:rsidR="00042913" w:rsidRPr="00556C55" w:rsidRDefault="00042913" w:rsidP="00042913">
      <w:pPr>
        <w:jc w:val="both"/>
      </w:pPr>
    </w:p>
    <w:p w:rsidR="00042913" w:rsidRPr="00556C55" w:rsidRDefault="00181544" w:rsidP="00042913">
      <w:pPr>
        <w:jc w:val="both"/>
      </w:pPr>
      <w:r w:rsidRPr="00556C55">
        <w:t>En este sentido, es necesario</w:t>
      </w:r>
      <w:r w:rsidR="00042913" w:rsidRPr="00556C55">
        <w:t xml:space="preserve"> referir que los siniestros viales, son considerados una enfermedad de Salud Pública, una epidemia silenciosa (OMS), y según cifras del observatorio de Movilidad de la Secretaría Distrital de Movilidad y anuarios de siniestralidad, se puede evidenciar que infortunadamente en Bogotá, durante la vigencia 2020-2022: 1360 personas perdieron la vida a causa de un siniestro vial y 52.746 personas quedaron lesionadas.</w:t>
      </w:r>
    </w:p>
    <w:p w:rsidR="00042913" w:rsidRPr="00556C55" w:rsidRDefault="00042913" w:rsidP="00042913">
      <w:pPr>
        <w:jc w:val="both"/>
      </w:pPr>
    </w:p>
    <w:p w:rsidR="00042913" w:rsidRPr="00556C55" w:rsidRDefault="00042913" w:rsidP="00042913">
      <w:pPr>
        <w:jc w:val="both"/>
      </w:pPr>
      <w:r w:rsidRPr="00556C55">
        <w:lastRenderedPageBreak/>
        <w:t>De acuerdo con lo anterior, se evidencia que en el año 2021 respecto a la vigencia 2020 hubo un incremento del 26% en el número de fallecidos y en el año 2022 respecto al año 2021 hubo un incremento del 17% con un total de 76 fallecidos más respecto al año anterior.</w:t>
      </w:r>
    </w:p>
    <w:p w:rsidR="00042913" w:rsidRPr="00556C55" w:rsidRDefault="00042913" w:rsidP="00042913">
      <w:pPr>
        <w:jc w:val="both"/>
      </w:pPr>
    </w:p>
    <w:p w:rsidR="00042913" w:rsidRPr="00556C55" w:rsidRDefault="00042913" w:rsidP="00042913">
      <w:pPr>
        <w:jc w:val="both"/>
      </w:pPr>
      <w:r w:rsidRPr="00556C55">
        <w:t>De igual forma, según cifras preliminares de la Agencia Nacional de Seguridad Vial, se evidencia que en el año 2023 con corte a junio en comparación con el mismo periodo del año   2022 hubo un incremento del 9,61% con un total de 27 fallecidos más, para un total de 308 víctimas.</w:t>
      </w:r>
    </w:p>
    <w:p w:rsidR="00042913" w:rsidRPr="00556C55" w:rsidRDefault="00042913" w:rsidP="00042913">
      <w:pPr>
        <w:jc w:val="both"/>
      </w:pPr>
    </w:p>
    <w:p w:rsidR="00AD7EEA" w:rsidRPr="00556C55" w:rsidRDefault="00AD7EEA">
      <w:pPr>
        <w:pBdr>
          <w:top w:val="nil"/>
          <w:left w:val="nil"/>
          <w:bottom w:val="nil"/>
          <w:right w:val="nil"/>
          <w:between w:val="nil"/>
        </w:pBdr>
        <w:ind w:left="708"/>
        <w:jc w:val="both"/>
        <w:rPr>
          <w:b/>
        </w:rPr>
      </w:pPr>
    </w:p>
    <w:p w:rsidR="00AD7EEA" w:rsidRPr="00556C55" w:rsidRDefault="00322AC2">
      <w:pPr>
        <w:jc w:val="both"/>
        <w:rPr>
          <w:b/>
        </w:rPr>
      </w:pPr>
      <w:r w:rsidRPr="00556C55">
        <w:rPr>
          <w:b/>
        </w:rPr>
        <w:t>2.1 Glosario</w:t>
      </w:r>
    </w:p>
    <w:p w:rsidR="00AD7EEA" w:rsidRPr="00556C55" w:rsidRDefault="00AD7EEA" w:rsidP="008B282B">
      <w:pPr>
        <w:jc w:val="both"/>
        <w:rPr>
          <w:b/>
        </w:rPr>
      </w:pPr>
    </w:p>
    <w:p w:rsidR="00AD7EEA" w:rsidRPr="00556C55" w:rsidRDefault="00322AC2" w:rsidP="008B282B">
      <w:pPr>
        <w:jc w:val="both"/>
      </w:pPr>
      <w:r w:rsidRPr="00556C55">
        <w:rPr>
          <w:b/>
        </w:rPr>
        <w:t>ACCIDENTE DE TRÁNSITO: “</w:t>
      </w:r>
      <w:r w:rsidRPr="00556C55">
        <w:rPr>
          <w:i/>
        </w:rPr>
        <w:t>Evento generalmente involuntario, generado al menos por un vehículo en movimiento, que causa daños a personas y bienes involucrados en él e igualmente afecta la circulación normal de los vehículos que se movilizan por la vía o vías comprendidas en el lugar o dentro de la zona de influencia del hecho</w:t>
      </w:r>
      <w:r w:rsidRPr="00556C55">
        <w:t>” (Código Nacional de Tránsito, 2002).</w:t>
      </w:r>
    </w:p>
    <w:p w:rsidR="00AD7EEA" w:rsidRPr="00556C55" w:rsidRDefault="00AD7EEA" w:rsidP="008B282B">
      <w:pPr>
        <w:jc w:val="both"/>
        <w:rPr>
          <w:b/>
        </w:rPr>
      </w:pPr>
    </w:p>
    <w:p w:rsidR="00AD7EEA" w:rsidRPr="00556C55" w:rsidRDefault="00322AC2" w:rsidP="008B282B">
      <w:pPr>
        <w:jc w:val="both"/>
        <w:rPr>
          <w:b/>
        </w:rPr>
      </w:pPr>
      <w:r w:rsidRPr="00556C55">
        <w:rPr>
          <w:b/>
        </w:rPr>
        <w:t>ACTOR EN LA VÍA:</w:t>
      </w:r>
      <w:r w:rsidRPr="00556C55">
        <w:rPr>
          <w:i/>
        </w:rPr>
        <w:t xml:space="preserve"> “Son actores de la vía, todas las personas que asumen un rol determinado, para hacer uso de las vías, con la finalidad de desplazarse de un lugar a otro, por lo tanto, se consideran actores de tránsito y de la vía los peatones, los transeúntes, los pasajeros y conductores de vehículos automotores y no automotores, los motociclistas, los ciclistas, los acompañantes, los pasajeros, entre otros”. (Corporación Fondo de Prevención Vial, 2011).</w:t>
      </w:r>
    </w:p>
    <w:p w:rsidR="00AD7EEA" w:rsidRPr="00556C55" w:rsidRDefault="00322AC2" w:rsidP="008B282B">
      <w:pPr>
        <w:jc w:val="both"/>
        <w:rPr>
          <w:i/>
        </w:rPr>
      </w:pPr>
      <w:r w:rsidRPr="00556C55">
        <w:rPr>
          <w:b/>
        </w:rPr>
        <w:t xml:space="preserve">OMS: </w:t>
      </w:r>
      <w:r w:rsidRPr="00556C55">
        <w:t xml:space="preserve">Organización Mundial de la Salud </w:t>
      </w:r>
      <w:r w:rsidRPr="00556C55">
        <w:rPr>
          <w:i/>
        </w:rPr>
        <w:t>(Corporación Fondo de Prevención Vial, 2011).</w:t>
      </w:r>
    </w:p>
    <w:p w:rsidR="00AD7EEA" w:rsidRPr="00556C55" w:rsidRDefault="00AD7EEA" w:rsidP="008B282B">
      <w:pPr>
        <w:jc w:val="both"/>
        <w:rPr>
          <w:i/>
        </w:rPr>
      </w:pPr>
    </w:p>
    <w:p w:rsidR="00AD7EEA" w:rsidRPr="00556C55" w:rsidRDefault="00322AC2" w:rsidP="008B282B">
      <w:pPr>
        <w:jc w:val="both"/>
      </w:pPr>
      <w:r w:rsidRPr="00556C55">
        <w:rPr>
          <w:b/>
        </w:rPr>
        <w:t>PASAJERO</w:t>
      </w:r>
      <w:r w:rsidRPr="00556C55">
        <w:rPr>
          <w:i/>
        </w:rPr>
        <w:t>: Persona distinta al conductor que se transporta en un vehículo público (</w:t>
      </w:r>
      <w:r w:rsidRPr="00556C55">
        <w:t>Código Nacional de Tránsito Ley 769 del 2002, Art. 2).</w:t>
      </w:r>
    </w:p>
    <w:p w:rsidR="00AD7EEA" w:rsidRPr="00556C55" w:rsidRDefault="00AD7EEA" w:rsidP="008B282B">
      <w:pPr>
        <w:jc w:val="both"/>
      </w:pPr>
    </w:p>
    <w:p w:rsidR="00AD7EEA" w:rsidRPr="00556C55" w:rsidRDefault="00322AC2" w:rsidP="008B282B">
      <w:pPr>
        <w:jc w:val="both"/>
      </w:pPr>
      <w:r w:rsidRPr="00556C55">
        <w:rPr>
          <w:b/>
        </w:rPr>
        <w:t xml:space="preserve">PEATÓN: </w:t>
      </w:r>
      <w:r w:rsidRPr="00556C55">
        <w:rPr>
          <w:i/>
        </w:rPr>
        <w:t>Persona que transita a pie o por una vía</w:t>
      </w:r>
      <w:r w:rsidRPr="00556C55">
        <w:t xml:space="preserve"> (Código Nacional de Tránsito Ley 769 del 2002, Art. 2).</w:t>
      </w:r>
    </w:p>
    <w:p w:rsidR="00556C55" w:rsidRPr="00556C55" w:rsidRDefault="00556C55" w:rsidP="008B282B">
      <w:pPr>
        <w:jc w:val="both"/>
        <w:rPr>
          <w:b/>
        </w:rPr>
      </w:pPr>
    </w:p>
    <w:p w:rsidR="00AD7EEA" w:rsidRPr="00556C55" w:rsidRDefault="00322AC2">
      <w:pPr>
        <w:jc w:val="both"/>
      </w:pPr>
      <w:r w:rsidRPr="00556C55">
        <w:rPr>
          <w:b/>
        </w:rPr>
        <w:t xml:space="preserve">PESV: </w:t>
      </w:r>
      <w:r w:rsidRPr="00556C55">
        <w:rPr>
          <w:i/>
        </w:rPr>
        <w:t>Plan Estratégico de Seguridad Vial, “es una herramienta de gestión encaminada a generar hábitos, comportamientos y conductas seguras en las vías para prevenir riesgos, reducir la accidentalidad vial y disminuir sus efectos nocivos</w:t>
      </w:r>
      <w:r w:rsidRPr="00556C55">
        <w:t>”. (Ministerio de Transporte)</w:t>
      </w:r>
    </w:p>
    <w:p w:rsidR="00AD7EEA" w:rsidRPr="00556C55" w:rsidRDefault="00AD7EEA">
      <w:pPr>
        <w:jc w:val="both"/>
      </w:pPr>
    </w:p>
    <w:p w:rsidR="00AD7EEA" w:rsidRPr="00556C55" w:rsidRDefault="00322AC2">
      <w:pPr>
        <w:jc w:val="both"/>
        <w:rPr>
          <w:i/>
        </w:rPr>
      </w:pPr>
      <w:r w:rsidRPr="00556C55">
        <w:rPr>
          <w:b/>
        </w:rPr>
        <w:lastRenderedPageBreak/>
        <w:t xml:space="preserve">PME: </w:t>
      </w:r>
      <w:r w:rsidRPr="00556C55">
        <w:rPr>
          <w:i/>
        </w:rPr>
        <w:t xml:space="preserve">El Plan de Movilidad Escolar es un “conjunto de orientaciones y acciones que buscan generar un escenario privilegiado para salvar vidas y fomentar [de manera participativa] una cultura vial segura y sostenible en las instituciones educativas” </w:t>
      </w:r>
      <w:r w:rsidRPr="00556C55">
        <w:t>(Secretaría de Educación del Distrito).</w:t>
      </w:r>
    </w:p>
    <w:p w:rsidR="00AD7EEA" w:rsidRPr="00556C55" w:rsidRDefault="00AD7EEA">
      <w:pPr>
        <w:jc w:val="both"/>
        <w:rPr>
          <w:b/>
        </w:rPr>
      </w:pPr>
    </w:p>
    <w:p w:rsidR="00AD7EEA" w:rsidRPr="00556C55" w:rsidRDefault="00322AC2">
      <w:pPr>
        <w:jc w:val="both"/>
        <w:rPr>
          <w:b/>
        </w:rPr>
      </w:pPr>
      <w:r w:rsidRPr="00556C55">
        <w:rPr>
          <w:b/>
        </w:rPr>
        <w:t xml:space="preserve">PDSV: </w:t>
      </w:r>
      <w:r w:rsidRPr="00556C55">
        <w:t>Plan Distrital de Seguridad Vial, “una hoja de ruta que permite definir y coordinar las acciones entre entidades públicas y privadas con el propósito de lograr una reducción en el número de fatalidades y lesiones graves” (Secretaría Distrital de Movilidad).</w:t>
      </w:r>
    </w:p>
    <w:p w:rsidR="00AD7EEA" w:rsidRPr="00556C55" w:rsidRDefault="00AD7EEA">
      <w:pPr>
        <w:jc w:val="both"/>
        <w:rPr>
          <w:b/>
        </w:rPr>
      </w:pPr>
    </w:p>
    <w:p w:rsidR="00AD7EEA" w:rsidRPr="00556C55" w:rsidRDefault="00322AC2">
      <w:pPr>
        <w:jc w:val="both"/>
      </w:pPr>
      <w:r w:rsidRPr="00556C55">
        <w:rPr>
          <w:b/>
        </w:rPr>
        <w:t xml:space="preserve">PNSV: </w:t>
      </w:r>
      <w:r w:rsidRPr="00556C55">
        <w:t>Plan Nacional de Seguridad Vial, “es la principal apuesta de política pública que tenemos en el país y que permite dar continuidad y fortalecer las acciones contra la siniestralidad vial, esta busca principalmente a prevenir las muertes y lesiones graves en la vía” (Agencia Nacional de Seguridad Vial).</w:t>
      </w:r>
    </w:p>
    <w:p w:rsidR="00AD7EEA" w:rsidRPr="00556C55" w:rsidRDefault="00AD7EEA">
      <w:pPr>
        <w:jc w:val="both"/>
        <w:rPr>
          <w:b/>
        </w:rPr>
      </w:pPr>
    </w:p>
    <w:p w:rsidR="00AD7EEA" w:rsidRPr="00556C55" w:rsidRDefault="00322AC2">
      <w:pPr>
        <w:jc w:val="both"/>
      </w:pPr>
      <w:r w:rsidRPr="00556C55">
        <w:rPr>
          <w:b/>
        </w:rPr>
        <w:t>RIESGO:</w:t>
      </w:r>
      <w:r w:rsidRPr="00556C55">
        <w:t xml:space="preserve"> </w:t>
      </w:r>
      <w:r w:rsidRPr="00556C55">
        <w:rPr>
          <w:i/>
        </w:rPr>
        <w:t>Evaluación de las consecuencias de un peligro, expresada en términos de probabilidad y severidad, tomando como referencia la peor condición previsible</w:t>
      </w:r>
      <w:r w:rsidRPr="00556C55">
        <w:t xml:space="preserve"> (Ministerio de Transporte, 2014).</w:t>
      </w:r>
    </w:p>
    <w:p w:rsidR="00AD7EEA" w:rsidRPr="00556C55" w:rsidRDefault="00AD7EEA">
      <w:pPr>
        <w:jc w:val="both"/>
        <w:rPr>
          <w:b/>
        </w:rPr>
      </w:pPr>
    </w:p>
    <w:p w:rsidR="00AD7EEA" w:rsidRPr="00556C55" w:rsidRDefault="00322AC2">
      <w:pPr>
        <w:jc w:val="both"/>
      </w:pPr>
      <w:r w:rsidRPr="00556C55">
        <w:rPr>
          <w:b/>
        </w:rPr>
        <w:t xml:space="preserve">SEGURIDAD VIAL: </w:t>
      </w:r>
      <w:r w:rsidRPr="00556C55">
        <w:rPr>
          <w:i/>
        </w:rPr>
        <w:t>“Entiéndase por seguridad vial el conjunto de acciones y políticas dirigidas a prevenir, controlar y disminuir el riesgo de muerte o de lesión de las personas en sus desplazamientos ya sea en medios motorizados o no motorizados</w:t>
      </w:r>
      <w:r w:rsidRPr="00556C55">
        <w:t>” (Ley 1702 del 2013).</w:t>
      </w:r>
    </w:p>
    <w:p w:rsidR="00AD7EEA" w:rsidRPr="00556C55" w:rsidRDefault="00AD7EEA">
      <w:pPr>
        <w:pStyle w:val="Ttulo2"/>
        <w:rPr>
          <w:rFonts w:ascii="Arial" w:hAnsi="Arial"/>
          <w:b/>
        </w:rPr>
      </w:pPr>
    </w:p>
    <w:p w:rsidR="00AD7EEA" w:rsidRPr="00556C55" w:rsidRDefault="00322AC2">
      <w:pPr>
        <w:pStyle w:val="Ttulo2"/>
        <w:rPr>
          <w:rFonts w:ascii="Arial" w:hAnsi="Arial"/>
          <w:b/>
        </w:rPr>
      </w:pPr>
      <w:r w:rsidRPr="00556C55">
        <w:rPr>
          <w:rFonts w:ascii="Arial" w:hAnsi="Arial"/>
          <w:b/>
        </w:rPr>
        <w:t xml:space="preserve"> 2.2 Contexto de la siniestralidad</w:t>
      </w:r>
    </w:p>
    <w:p w:rsidR="00AD7EEA" w:rsidRPr="00556C55" w:rsidRDefault="00AD7EEA"/>
    <w:p w:rsidR="00AD7EEA" w:rsidRPr="00556C55" w:rsidRDefault="00322AC2">
      <w:pPr>
        <w:jc w:val="both"/>
      </w:pPr>
      <w:r w:rsidRPr="00556C55">
        <w:t>Teniendo en cuenta la siniestralidad en el mundo y la tasa de mortalidad, se observa un tendiente creciente a causa de siniestros viales, que según cifras de la Organización Mundial de la Salud (OMS) anualmente genera la pérdida de más de 1,24 millones de personas, generando en promedio 3.000 fallecimientos diarios en el mundo.</w:t>
      </w:r>
    </w:p>
    <w:p w:rsidR="00AD7EEA" w:rsidRPr="00556C55" w:rsidRDefault="00AD7EEA">
      <w:pPr>
        <w:jc w:val="both"/>
      </w:pPr>
    </w:p>
    <w:p w:rsidR="00AD7EEA" w:rsidRPr="00556C55" w:rsidRDefault="00322AC2">
      <w:pPr>
        <w:jc w:val="both"/>
      </w:pPr>
      <w:r w:rsidRPr="00556C55">
        <w:t>En este sentido, es importante referir que los siniestros viales, son considerados una enfermedad de Salud Pública, una epidemia silenciosa (OMS), y según cifras del observatorio de Movilidad de la Secretaría Distrital de Movilidad y anuarios de siniestralidad, se puede evidenciar que infortunadamente en Bogotá, durante la vigencia 2020-2022: 1360 personas perdieron la vida a causa de un siniestro vial y 52.746 personas quedaron lesionadas.</w:t>
      </w:r>
    </w:p>
    <w:p w:rsidR="00AD7EEA" w:rsidRPr="00556C55" w:rsidRDefault="00AD7EEA">
      <w:pPr>
        <w:jc w:val="both"/>
      </w:pPr>
    </w:p>
    <w:p w:rsidR="00AD7EEA" w:rsidRPr="00556C55" w:rsidRDefault="00322AC2">
      <w:pPr>
        <w:jc w:val="both"/>
      </w:pPr>
      <w:r w:rsidRPr="00556C55">
        <w:lastRenderedPageBreak/>
        <w:t>De acuerdo con lo anterior, se evidencia que en el año 2021 respecto a la vigencia 2020 hubo un incremento del 26% en el número de fallecidos y en el año 2022 respecto al año 2021 hubo un incremento del 17% con un total de 76 fallecidos más respecto al año anterior.</w:t>
      </w:r>
    </w:p>
    <w:p w:rsidR="00AD7EEA" w:rsidRPr="00556C55" w:rsidRDefault="00AD7EEA">
      <w:pPr>
        <w:jc w:val="both"/>
      </w:pPr>
    </w:p>
    <w:p w:rsidR="00AD7EEA" w:rsidRPr="00556C55" w:rsidRDefault="00322AC2">
      <w:pPr>
        <w:jc w:val="both"/>
      </w:pPr>
      <w:r w:rsidRPr="00556C55">
        <w:t>De igual forma, según cifras preliminares de la Agencia Nacional de Seguridad Vial, se evidencia que en el año 2023 con corte a junio en comparación con el mismo periodo del año   2022 hubo un incremento del 9,61% con un total de 27 fallecidos más, para un total de 308 víctimas.</w:t>
      </w:r>
    </w:p>
    <w:p w:rsidR="00AD7EEA" w:rsidRPr="00556C55" w:rsidRDefault="00AD7EEA">
      <w:pPr>
        <w:jc w:val="both"/>
      </w:pPr>
    </w:p>
    <w:p w:rsidR="00AD7EEA" w:rsidRPr="00556C55" w:rsidRDefault="00322AC2">
      <w:pPr>
        <w:jc w:val="both"/>
      </w:pPr>
      <w:r w:rsidRPr="00556C55">
        <w:t>Para un mayor contexto del comportamiento de la siniestralidad durante la vigencia 2020-2022, se expone en detalle a continuación:</w:t>
      </w:r>
    </w:p>
    <w:p w:rsidR="00AD7EEA" w:rsidRPr="00556C55" w:rsidRDefault="00AD7EEA">
      <w:pPr>
        <w:jc w:val="both"/>
        <w:rPr>
          <w:b/>
        </w:rPr>
      </w:pPr>
    </w:p>
    <w:p w:rsidR="00AD7EEA" w:rsidRPr="00556C55" w:rsidRDefault="00322AC2" w:rsidP="008B282B">
      <w:pPr>
        <w:jc w:val="center"/>
        <w:rPr>
          <w:b/>
        </w:rPr>
      </w:pPr>
      <w:r w:rsidRPr="00556C55">
        <w:rPr>
          <w:b/>
        </w:rPr>
        <w:t>Tabla 1</w:t>
      </w:r>
    </w:p>
    <w:p w:rsidR="00AD7EEA" w:rsidRPr="00556C55" w:rsidRDefault="00322AC2" w:rsidP="008B282B">
      <w:pPr>
        <w:jc w:val="center"/>
        <w:rPr>
          <w:i/>
        </w:rPr>
      </w:pPr>
      <w:r w:rsidRPr="00556C55">
        <w:rPr>
          <w:i/>
        </w:rPr>
        <w:t>Comportamiento siniestralidad Bogotá 2020-2022</w:t>
      </w:r>
    </w:p>
    <w:p w:rsidR="00AD7EEA" w:rsidRPr="00556C55" w:rsidRDefault="00AD7EEA">
      <w:pPr>
        <w:jc w:val="both"/>
      </w:pPr>
    </w:p>
    <w:p w:rsidR="00AD7EEA" w:rsidRPr="00556C55" w:rsidRDefault="00322AC2">
      <w:pPr>
        <w:jc w:val="both"/>
      </w:pPr>
      <w:r w:rsidRPr="00556C55">
        <w:rPr>
          <w:noProof/>
          <w:lang w:val="es-419" w:eastAsia="es-419"/>
        </w:rPr>
        <w:drawing>
          <wp:inline distT="0" distB="0" distL="0" distR="0">
            <wp:extent cx="5724698" cy="1724025"/>
            <wp:effectExtent l="0" t="0" r="9525" b="0"/>
            <wp:docPr id="211051442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4"/>
                    <a:srcRect/>
                    <a:stretch>
                      <a:fillRect/>
                    </a:stretch>
                  </pic:blipFill>
                  <pic:spPr>
                    <a:xfrm>
                      <a:off x="0" y="0"/>
                      <a:ext cx="5726519" cy="1724573"/>
                    </a:xfrm>
                    <a:prstGeom prst="rect">
                      <a:avLst/>
                    </a:prstGeom>
                    <a:ln/>
                  </pic:spPr>
                </pic:pic>
              </a:graphicData>
            </a:graphic>
          </wp:inline>
        </w:drawing>
      </w:r>
    </w:p>
    <w:p w:rsidR="00AD7EEA" w:rsidRPr="00556C55" w:rsidRDefault="00AD7EEA">
      <w:pPr>
        <w:ind w:firstLine="709"/>
      </w:pPr>
    </w:p>
    <w:p w:rsidR="00AD7EEA" w:rsidRPr="00556C55" w:rsidRDefault="00322AC2" w:rsidP="008B282B">
      <w:r w:rsidRPr="00556C55">
        <w:t>Nota. Comportamiento siniestralidad Bogotá 2020-2022. Con base en datos obtenidos del Observatorio de Movilidad de la Secretaría Distrital de Movilidad</w:t>
      </w:r>
    </w:p>
    <w:p w:rsidR="00AD7EEA" w:rsidRPr="00556C55" w:rsidRDefault="00AD7EEA">
      <w:pPr>
        <w:jc w:val="both"/>
      </w:pPr>
    </w:p>
    <w:p w:rsidR="00AD7EEA" w:rsidRPr="00556C55" w:rsidRDefault="00322AC2">
      <w:pPr>
        <w:jc w:val="both"/>
      </w:pPr>
      <w:r w:rsidRPr="00556C55">
        <w:t>Como se observa en la tabla 1, durante la vigencia 2020-2022, en la Ciudad de Bogotá hubo un total de 1360 víctimas fatales y 52746 lesionados a causa de siniestros viales.</w:t>
      </w:r>
    </w:p>
    <w:p w:rsidR="00AD7EEA" w:rsidRPr="00556C55" w:rsidRDefault="00AD7EEA">
      <w:pPr>
        <w:jc w:val="both"/>
      </w:pPr>
    </w:p>
    <w:p w:rsidR="00AD7EEA" w:rsidRPr="00556C55" w:rsidRDefault="00322AC2">
      <w:pPr>
        <w:jc w:val="both"/>
      </w:pPr>
      <w:r w:rsidRPr="00556C55">
        <w:t>De tal modo, se observa que, durante la vigencia referida, se evidencia que respecto a las víctimas fatales: 262 con un 19% corresponde a mujeres, 1044 con un 77% a hombres y 54 con un 4% no se tiene información.</w:t>
      </w:r>
    </w:p>
    <w:p w:rsidR="00AD7EEA" w:rsidRPr="00556C55" w:rsidRDefault="00AD7EEA">
      <w:pPr>
        <w:jc w:val="both"/>
      </w:pPr>
    </w:p>
    <w:p w:rsidR="00AD7EEA" w:rsidRPr="00556C55" w:rsidRDefault="00322AC2">
      <w:pPr>
        <w:jc w:val="both"/>
      </w:pPr>
      <w:r w:rsidRPr="00556C55">
        <w:lastRenderedPageBreak/>
        <w:t>Ahora bien, respecto a los lesionados, se evidencia que 17000 con un 32% corresponde a mujeres, 35626 con un 67% a hombres y 120 personas sin información con 4%.</w:t>
      </w:r>
    </w:p>
    <w:p w:rsidR="00AD7EEA" w:rsidRPr="00556C55" w:rsidRDefault="00AD7EEA">
      <w:pPr>
        <w:jc w:val="both"/>
      </w:pPr>
    </w:p>
    <w:p w:rsidR="00AD7EEA" w:rsidRDefault="00AD7EEA">
      <w:pPr>
        <w:jc w:val="both"/>
      </w:pPr>
    </w:p>
    <w:p w:rsidR="00AD7EEA" w:rsidRDefault="00322AC2" w:rsidP="008B282B">
      <w:pPr>
        <w:jc w:val="center"/>
        <w:rPr>
          <w:b/>
        </w:rPr>
      </w:pPr>
      <w:r>
        <w:rPr>
          <w:b/>
        </w:rPr>
        <w:t>Figura 1</w:t>
      </w:r>
    </w:p>
    <w:p w:rsidR="00AD7EEA" w:rsidRDefault="00322AC2" w:rsidP="008B282B">
      <w:pPr>
        <w:jc w:val="center"/>
        <w:rPr>
          <w:i/>
          <w:sz w:val="23"/>
          <w:szCs w:val="23"/>
        </w:rPr>
      </w:pPr>
      <w:r>
        <w:rPr>
          <w:i/>
          <w:sz w:val="23"/>
          <w:szCs w:val="23"/>
        </w:rPr>
        <w:t>Comportamiento siniestralidad Bogotá 2016-2020</w:t>
      </w:r>
    </w:p>
    <w:p w:rsidR="00AD7EEA" w:rsidRDefault="00AD7EEA">
      <w:pPr>
        <w:jc w:val="both"/>
        <w:rPr>
          <w:b/>
        </w:rPr>
      </w:pPr>
    </w:p>
    <w:p w:rsidR="00AD7EEA" w:rsidRDefault="00322AC2">
      <w:pPr>
        <w:jc w:val="both"/>
      </w:pPr>
      <w:r>
        <w:rPr>
          <w:noProof/>
          <w:lang w:val="es-419" w:eastAsia="es-419"/>
        </w:rPr>
        <w:drawing>
          <wp:inline distT="0" distB="0" distL="0" distR="0">
            <wp:extent cx="5572125" cy="2114550"/>
            <wp:effectExtent l="0" t="0" r="9525" b="0"/>
            <wp:docPr id="2110514428"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5"/>
                    <a:srcRect/>
                    <a:stretch>
                      <a:fillRect/>
                    </a:stretch>
                  </pic:blipFill>
                  <pic:spPr>
                    <a:xfrm>
                      <a:off x="0" y="0"/>
                      <a:ext cx="5572125" cy="2114550"/>
                    </a:xfrm>
                    <a:prstGeom prst="rect">
                      <a:avLst/>
                    </a:prstGeom>
                    <a:ln/>
                  </pic:spPr>
                </pic:pic>
              </a:graphicData>
            </a:graphic>
          </wp:inline>
        </w:drawing>
      </w:r>
    </w:p>
    <w:p w:rsidR="00AD7EEA" w:rsidRDefault="00AD7EEA">
      <w:pPr>
        <w:ind w:firstLine="709"/>
        <w:jc w:val="both"/>
      </w:pPr>
    </w:p>
    <w:p w:rsidR="00AD7EEA" w:rsidRPr="008B282B" w:rsidRDefault="00322AC2" w:rsidP="008B282B">
      <w:pPr>
        <w:jc w:val="both"/>
        <w:rPr>
          <w:sz w:val="18"/>
          <w:szCs w:val="18"/>
        </w:rPr>
      </w:pPr>
      <w:r w:rsidRPr="008B282B">
        <w:rPr>
          <w:sz w:val="18"/>
          <w:szCs w:val="18"/>
        </w:rPr>
        <w:t>Nota. Comportamiento siniestralidad Bogotá 2020-2022. Con base en datos obtenidos del Observatorio de Movilidad de la Secretaría Distrital de Movilidad.</w:t>
      </w:r>
    </w:p>
    <w:p w:rsidR="00AD7EEA" w:rsidRDefault="00AD7EEA">
      <w:pPr>
        <w:jc w:val="both"/>
      </w:pPr>
    </w:p>
    <w:p w:rsidR="00AD7EEA" w:rsidRDefault="00322AC2">
      <w:pPr>
        <w:jc w:val="both"/>
      </w:pPr>
      <w:r>
        <w:t>Como se observa en la figura 1, el comportamiento de los siniestros viales, durante la vigencia 2020-2022, es de la siguiente manera: en el año 2022 hubo un total de 12878 lesionados y 364 víctimas fatales; para el año 2021, un total de 18368 lesionados y 460 víctimas fatales y para el año 2022, 21500 lesionados y 536 víctimas fatales.</w:t>
      </w:r>
    </w:p>
    <w:p w:rsidR="008B282B" w:rsidRDefault="008B282B" w:rsidP="00181544">
      <w:pPr>
        <w:rPr>
          <w:b/>
        </w:rPr>
      </w:pPr>
    </w:p>
    <w:p w:rsidR="008B282B" w:rsidRDefault="008B282B" w:rsidP="008B282B">
      <w:pPr>
        <w:jc w:val="center"/>
        <w:rPr>
          <w:b/>
        </w:rPr>
      </w:pPr>
    </w:p>
    <w:p w:rsidR="00AD7EEA" w:rsidRDefault="00322AC2" w:rsidP="008B282B">
      <w:pPr>
        <w:jc w:val="center"/>
        <w:rPr>
          <w:b/>
        </w:rPr>
      </w:pPr>
      <w:r>
        <w:rPr>
          <w:b/>
        </w:rPr>
        <w:t>Tabla 2</w:t>
      </w:r>
    </w:p>
    <w:p w:rsidR="00AD7EEA" w:rsidRDefault="00322AC2" w:rsidP="008B282B">
      <w:pPr>
        <w:jc w:val="center"/>
      </w:pPr>
      <w:r>
        <w:rPr>
          <w:i/>
          <w:sz w:val="23"/>
          <w:szCs w:val="23"/>
        </w:rPr>
        <w:t>Víctimas Fatales Siniestros Viales Bogotá según actor vial 2020-2022</w:t>
      </w:r>
    </w:p>
    <w:p w:rsidR="00AD7EEA" w:rsidRDefault="00322AC2">
      <w:pPr>
        <w:jc w:val="both"/>
      </w:pPr>
      <w:r>
        <w:rPr>
          <w:noProof/>
          <w:lang w:val="es-419" w:eastAsia="es-419"/>
        </w:rPr>
        <w:lastRenderedPageBreak/>
        <w:drawing>
          <wp:inline distT="0" distB="0" distL="0" distR="0">
            <wp:extent cx="5467350" cy="1800225"/>
            <wp:effectExtent l="0" t="0" r="0" b="9525"/>
            <wp:docPr id="2110514427"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6"/>
                    <a:srcRect/>
                    <a:stretch>
                      <a:fillRect/>
                    </a:stretch>
                  </pic:blipFill>
                  <pic:spPr>
                    <a:xfrm>
                      <a:off x="0" y="0"/>
                      <a:ext cx="5467350" cy="1800225"/>
                    </a:xfrm>
                    <a:prstGeom prst="rect">
                      <a:avLst/>
                    </a:prstGeom>
                    <a:ln/>
                  </pic:spPr>
                </pic:pic>
              </a:graphicData>
            </a:graphic>
          </wp:inline>
        </w:drawing>
      </w:r>
    </w:p>
    <w:p w:rsidR="00AD7EEA" w:rsidRDefault="00AD7EEA">
      <w:pPr>
        <w:ind w:firstLine="709"/>
        <w:jc w:val="both"/>
      </w:pPr>
    </w:p>
    <w:p w:rsidR="00AD7EEA" w:rsidRPr="008B282B" w:rsidRDefault="00322AC2" w:rsidP="008B282B">
      <w:pPr>
        <w:jc w:val="both"/>
        <w:rPr>
          <w:sz w:val="18"/>
          <w:szCs w:val="18"/>
        </w:rPr>
      </w:pPr>
      <w:r w:rsidRPr="008B282B">
        <w:rPr>
          <w:sz w:val="18"/>
          <w:szCs w:val="18"/>
        </w:rPr>
        <w:t>Nota. Víctimas Fatales Siniestros Viales Bogotá según actor vial 2020-</w:t>
      </w:r>
      <w:r w:rsidR="008B282B" w:rsidRPr="008B282B">
        <w:rPr>
          <w:sz w:val="18"/>
          <w:szCs w:val="18"/>
        </w:rPr>
        <w:t xml:space="preserve">2022. </w:t>
      </w:r>
      <w:r w:rsidRPr="008B282B">
        <w:rPr>
          <w:sz w:val="18"/>
          <w:szCs w:val="18"/>
        </w:rPr>
        <w:t>Con base en datos obtenidos del Observatorio de Movilidad de la Secretaría Distrital de Movilidad</w:t>
      </w:r>
      <w:r>
        <w:t>.</w:t>
      </w:r>
    </w:p>
    <w:p w:rsidR="00AD7EEA" w:rsidRDefault="00AD7EEA">
      <w:pPr>
        <w:jc w:val="both"/>
        <w:rPr>
          <w:b/>
        </w:rPr>
      </w:pPr>
    </w:p>
    <w:p w:rsidR="00AD7EEA" w:rsidRDefault="00322AC2" w:rsidP="008B282B">
      <w:pPr>
        <w:jc w:val="center"/>
        <w:rPr>
          <w:b/>
        </w:rPr>
      </w:pPr>
      <w:r>
        <w:rPr>
          <w:b/>
        </w:rPr>
        <w:t>Figura 2</w:t>
      </w:r>
    </w:p>
    <w:p w:rsidR="00AD7EEA" w:rsidRDefault="00322AC2" w:rsidP="008B282B">
      <w:pPr>
        <w:jc w:val="center"/>
        <w:rPr>
          <w:i/>
          <w:sz w:val="23"/>
          <w:szCs w:val="23"/>
        </w:rPr>
      </w:pPr>
      <w:r>
        <w:rPr>
          <w:i/>
          <w:sz w:val="23"/>
          <w:szCs w:val="23"/>
        </w:rPr>
        <w:t>Víctimas Fatales Siniestros Viales Bogotá según actor vial 2020-2022</w:t>
      </w:r>
    </w:p>
    <w:p w:rsidR="00AD7EEA" w:rsidRDefault="00AD7EEA" w:rsidP="008B282B">
      <w:pPr>
        <w:jc w:val="center"/>
        <w:rPr>
          <w:i/>
          <w:sz w:val="23"/>
          <w:szCs w:val="23"/>
        </w:rPr>
      </w:pPr>
    </w:p>
    <w:p w:rsidR="00AD7EEA" w:rsidRDefault="00322AC2">
      <w:pPr>
        <w:jc w:val="both"/>
      </w:pPr>
      <w:r>
        <w:rPr>
          <w:noProof/>
          <w:lang w:val="es-419" w:eastAsia="es-419"/>
        </w:rPr>
        <w:drawing>
          <wp:inline distT="0" distB="0" distL="0" distR="0">
            <wp:extent cx="5489924" cy="2818480"/>
            <wp:effectExtent l="0" t="0" r="0" b="0"/>
            <wp:docPr id="2110514430"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17"/>
                    <a:srcRect/>
                    <a:stretch>
                      <a:fillRect/>
                    </a:stretch>
                  </pic:blipFill>
                  <pic:spPr>
                    <a:xfrm>
                      <a:off x="0" y="0"/>
                      <a:ext cx="5489924" cy="2818480"/>
                    </a:xfrm>
                    <a:prstGeom prst="rect">
                      <a:avLst/>
                    </a:prstGeom>
                    <a:ln/>
                  </pic:spPr>
                </pic:pic>
              </a:graphicData>
            </a:graphic>
          </wp:inline>
        </w:drawing>
      </w:r>
    </w:p>
    <w:p w:rsidR="00AD7EEA" w:rsidRDefault="00AD7EEA">
      <w:pPr>
        <w:ind w:firstLine="709"/>
        <w:jc w:val="both"/>
      </w:pPr>
    </w:p>
    <w:p w:rsidR="00AD7EEA" w:rsidRDefault="00322AC2" w:rsidP="008B282B">
      <w:pPr>
        <w:jc w:val="both"/>
      </w:pPr>
      <w:r w:rsidRPr="008B282B">
        <w:rPr>
          <w:sz w:val="18"/>
          <w:szCs w:val="18"/>
        </w:rPr>
        <w:t>Nota. Víctimas Fatales Siniestros Viales Bogotá según actor vial 2020-2022 con base en datos obtenidos del Observatorio de Movilidad de la Secretaría Distrital de Movilidad</w:t>
      </w:r>
      <w:r>
        <w:t>.</w:t>
      </w:r>
    </w:p>
    <w:p w:rsidR="00C706E4" w:rsidRDefault="00C706E4">
      <w:pPr>
        <w:jc w:val="both"/>
      </w:pPr>
    </w:p>
    <w:p w:rsidR="00AD7EEA" w:rsidRDefault="00322AC2">
      <w:pPr>
        <w:jc w:val="both"/>
      </w:pPr>
      <w:r>
        <w:t xml:space="preserve">Como se puede evidenciar en la tabla 2 y la figura 2, durante la vigencia 2020-2022 hubo 1360 víctimas fatales, de las cuales 490 corresponde a peatones con una </w:t>
      </w:r>
      <w:r>
        <w:lastRenderedPageBreak/>
        <w:t>participación del 36.03%; 484 a motociclistas con un 35.59%; 226 ciclistas con un 16.62%; pasajeros 131 con un 9,63% y 29 conductores con un 2,13%. De tal modo, se observa que los actores vulnerables son los más tendientes a perder la vida con un 88.24%, correspondientes a: peatones, motociclistas y ciclistas.</w:t>
      </w:r>
    </w:p>
    <w:p w:rsidR="00AD7EEA" w:rsidRDefault="00AD7EEA">
      <w:pPr>
        <w:jc w:val="both"/>
        <w:rPr>
          <w:b/>
        </w:rPr>
      </w:pPr>
    </w:p>
    <w:p w:rsidR="00AD7EEA" w:rsidRDefault="00322AC2" w:rsidP="008B282B">
      <w:pPr>
        <w:jc w:val="center"/>
        <w:rPr>
          <w:b/>
        </w:rPr>
      </w:pPr>
      <w:r>
        <w:rPr>
          <w:b/>
        </w:rPr>
        <w:t>Tabla 3</w:t>
      </w:r>
    </w:p>
    <w:p w:rsidR="00AD7EEA" w:rsidRDefault="00322AC2" w:rsidP="008B282B">
      <w:pPr>
        <w:jc w:val="center"/>
        <w:rPr>
          <w:i/>
          <w:sz w:val="23"/>
          <w:szCs w:val="23"/>
        </w:rPr>
      </w:pPr>
      <w:r>
        <w:rPr>
          <w:i/>
          <w:sz w:val="23"/>
          <w:szCs w:val="23"/>
        </w:rPr>
        <w:t>Lesionadas Por Siniestros Viales Bogotá según actor vial 2020-2022</w:t>
      </w:r>
    </w:p>
    <w:p w:rsidR="00AD7EEA" w:rsidRDefault="00AD7EEA">
      <w:pPr>
        <w:jc w:val="both"/>
      </w:pPr>
    </w:p>
    <w:p w:rsidR="00AD7EEA" w:rsidRDefault="00322AC2">
      <w:pPr>
        <w:jc w:val="both"/>
      </w:pPr>
      <w:r>
        <w:rPr>
          <w:noProof/>
          <w:lang w:val="es-419" w:eastAsia="es-419"/>
        </w:rPr>
        <w:drawing>
          <wp:inline distT="0" distB="0" distL="0" distR="0">
            <wp:extent cx="5558443" cy="1333500"/>
            <wp:effectExtent l="0" t="0" r="4445" b="0"/>
            <wp:docPr id="2110514429"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8"/>
                    <a:srcRect/>
                    <a:stretch>
                      <a:fillRect/>
                    </a:stretch>
                  </pic:blipFill>
                  <pic:spPr>
                    <a:xfrm>
                      <a:off x="0" y="0"/>
                      <a:ext cx="5560935" cy="1334098"/>
                    </a:xfrm>
                    <a:prstGeom prst="rect">
                      <a:avLst/>
                    </a:prstGeom>
                    <a:ln/>
                  </pic:spPr>
                </pic:pic>
              </a:graphicData>
            </a:graphic>
          </wp:inline>
        </w:drawing>
      </w:r>
    </w:p>
    <w:p w:rsidR="00AD7EEA" w:rsidRDefault="00AD7EEA">
      <w:pPr>
        <w:ind w:firstLine="709"/>
        <w:jc w:val="both"/>
      </w:pPr>
    </w:p>
    <w:p w:rsidR="00AD7EEA" w:rsidRPr="008B282B" w:rsidRDefault="00322AC2" w:rsidP="008B282B">
      <w:pPr>
        <w:jc w:val="both"/>
        <w:rPr>
          <w:sz w:val="18"/>
          <w:szCs w:val="18"/>
        </w:rPr>
      </w:pPr>
      <w:r w:rsidRPr="008B282B">
        <w:rPr>
          <w:sz w:val="18"/>
          <w:szCs w:val="18"/>
        </w:rPr>
        <w:t>Nota. Lesionadas Siniestros Viales Bogotá según actor vial 2020-2022 Con base en datos obtenidos del Observatorio de Movilidad de la Secretaría Distrital de Movilidad.</w:t>
      </w:r>
    </w:p>
    <w:p w:rsidR="00AD7EEA" w:rsidRDefault="00AD7EEA">
      <w:pPr>
        <w:ind w:firstLine="709"/>
        <w:jc w:val="both"/>
      </w:pPr>
    </w:p>
    <w:p w:rsidR="00AD7EEA" w:rsidRDefault="00322AC2">
      <w:pPr>
        <w:jc w:val="both"/>
      </w:pPr>
      <w:r>
        <w:t>Como se puede evidenciar en la tabla 3, durante la vigencia 2020-2022, hubo 52746 lesionados, de los cuales 19103 corresponden a motociclistas con una participación del 36%; 12950 pasajeros con un 25%; 7568 peatones con un 14%; 6656 conductores con un 13% y 6469 ciclistas con un 12%.</w:t>
      </w:r>
    </w:p>
    <w:p w:rsidR="00AD7EEA" w:rsidRDefault="00AD7EEA">
      <w:pPr>
        <w:jc w:val="both"/>
        <w:rPr>
          <w:b/>
        </w:rPr>
      </w:pPr>
    </w:p>
    <w:p w:rsidR="00AD7EEA" w:rsidRDefault="00322AC2" w:rsidP="008B282B">
      <w:pPr>
        <w:jc w:val="center"/>
        <w:rPr>
          <w:b/>
        </w:rPr>
      </w:pPr>
      <w:r>
        <w:rPr>
          <w:b/>
        </w:rPr>
        <w:t>Figura 3</w:t>
      </w:r>
    </w:p>
    <w:p w:rsidR="00AD7EEA" w:rsidRDefault="00322AC2" w:rsidP="008B282B">
      <w:pPr>
        <w:jc w:val="center"/>
        <w:rPr>
          <w:i/>
          <w:sz w:val="23"/>
          <w:szCs w:val="23"/>
        </w:rPr>
      </w:pPr>
      <w:r>
        <w:rPr>
          <w:i/>
          <w:sz w:val="23"/>
          <w:szCs w:val="23"/>
        </w:rPr>
        <w:t>Lesionadas Por Siniestros Viales Bogotá según actor vial 2020-2022</w:t>
      </w:r>
    </w:p>
    <w:p w:rsidR="00AD7EEA" w:rsidRDefault="00322AC2">
      <w:pPr>
        <w:jc w:val="both"/>
      </w:pPr>
      <w:r>
        <w:rPr>
          <w:i/>
          <w:noProof/>
          <w:sz w:val="23"/>
          <w:szCs w:val="23"/>
          <w:lang w:val="es-419" w:eastAsia="es-419"/>
        </w:rPr>
        <w:drawing>
          <wp:inline distT="0" distB="0" distL="0" distR="0">
            <wp:extent cx="5572125" cy="1257935"/>
            <wp:effectExtent l="0" t="0" r="9525" b="0"/>
            <wp:docPr id="2110514432"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19"/>
                    <a:srcRect/>
                    <a:stretch>
                      <a:fillRect/>
                    </a:stretch>
                  </pic:blipFill>
                  <pic:spPr>
                    <a:xfrm>
                      <a:off x="0" y="0"/>
                      <a:ext cx="5574230" cy="1258410"/>
                    </a:xfrm>
                    <a:prstGeom prst="rect">
                      <a:avLst/>
                    </a:prstGeom>
                    <a:ln/>
                  </pic:spPr>
                </pic:pic>
              </a:graphicData>
            </a:graphic>
          </wp:inline>
        </w:drawing>
      </w:r>
    </w:p>
    <w:p w:rsidR="00AD7EEA" w:rsidRDefault="00322AC2">
      <w:pPr>
        <w:jc w:val="both"/>
      </w:pPr>
      <w:r w:rsidRPr="008B282B">
        <w:rPr>
          <w:sz w:val="18"/>
          <w:szCs w:val="18"/>
        </w:rPr>
        <w:t>Nota. Lesionadas Siniestros Viales Bogotá según actor vial 2020-2022 con base en datos obtenidos del Observatorio de Movilidad de la Secretaría Distrital de Movilidad</w:t>
      </w:r>
      <w:r>
        <w:t>.</w:t>
      </w:r>
    </w:p>
    <w:p w:rsidR="008B282B" w:rsidRDefault="008B282B">
      <w:pPr>
        <w:jc w:val="both"/>
        <w:rPr>
          <w:i/>
          <w:sz w:val="23"/>
          <w:szCs w:val="23"/>
        </w:rPr>
      </w:pPr>
    </w:p>
    <w:p w:rsidR="00AD7EEA" w:rsidRDefault="00322AC2">
      <w:pPr>
        <w:jc w:val="both"/>
      </w:pPr>
      <w:r>
        <w:t>Como se puede evidenciar en la figura 3, durante la vigencia 2020-2022, hubo 52746 lesionados, donde el comportamiento por año es el siguiente:</w:t>
      </w:r>
    </w:p>
    <w:p w:rsidR="00AD7EEA" w:rsidRDefault="00AD7EEA">
      <w:pPr>
        <w:jc w:val="both"/>
      </w:pPr>
    </w:p>
    <w:p w:rsidR="00AD7EEA" w:rsidRDefault="00322AC2">
      <w:pPr>
        <w:jc w:val="both"/>
      </w:pPr>
      <w:r>
        <w:lastRenderedPageBreak/>
        <w:t>En el año 2020 un total de 12878 lesionados, de los cuales 4701 corresponden a motociclistas con un 36,50% de participación; 2959 a pasajeros con un 22,98%; 2049 ciclistas con un 15,91%; 1997 peatones con un 15,51% y 1172 a conductores con un 9,10%.</w:t>
      </w:r>
    </w:p>
    <w:p w:rsidR="00AD7EEA" w:rsidRDefault="00AD7EEA">
      <w:pPr>
        <w:jc w:val="both"/>
      </w:pPr>
    </w:p>
    <w:p w:rsidR="00AD7EEA" w:rsidRDefault="00322AC2">
      <w:pPr>
        <w:jc w:val="both"/>
      </w:pPr>
      <w:r>
        <w:t>En el año 2021 un total de 18368 lesionados, de los cuales 6600 corresponden a motociclistas con un 35,93%; 4548 a pasajeros con un 24,76%; 2463 a peatones con un 13,41%; 2458 a conductores con un 13,38% y 2048 ciclistas con un 12,52%.</w:t>
      </w:r>
    </w:p>
    <w:p w:rsidR="00AD7EEA" w:rsidRDefault="00322AC2">
      <w:pPr>
        <w:jc w:val="both"/>
      </w:pPr>
      <w:r>
        <w:t>En el año 2022 un total de 21500 lesionados, de los cuales 7802 son motociclistas con una participación del 36,29%; 5443 personas pasajeros con un 25,32%; 3108 peatones con un 14,46%; 3026 con un 14,07% y 2121 ciclistas con un 9,87%.</w:t>
      </w:r>
    </w:p>
    <w:p w:rsidR="00AD7EEA" w:rsidRDefault="00AD7EEA">
      <w:pPr>
        <w:jc w:val="both"/>
        <w:rPr>
          <w:b/>
        </w:rPr>
      </w:pPr>
    </w:p>
    <w:p w:rsidR="00AD7EEA" w:rsidRDefault="00322AC2" w:rsidP="00042913">
      <w:pPr>
        <w:jc w:val="center"/>
        <w:rPr>
          <w:b/>
        </w:rPr>
      </w:pPr>
      <w:r>
        <w:rPr>
          <w:b/>
        </w:rPr>
        <w:t>Tabla 4</w:t>
      </w:r>
    </w:p>
    <w:p w:rsidR="00AD7EEA" w:rsidRDefault="00322AC2" w:rsidP="00042913">
      <w:pPr>
        <w:jc w:val="center"/>
        <w:rPr>
          <w:i/>
          <w:sz w:val="23"/>
          <w:szCs w:val="23"/>
        </w:rPr>
      </w:pPr>
      <w:r>
        <w:rPr>
          <w:i/>
          <w:sz w:val="23"/>
          <w:szCs w:val="23"/>
        </w:rPr>
        <w:t>Análisis Horizontal Siniestros Viales Bogotá 2020-2022</w:t>
      </w:r>
    </w:p>
    <w:p w:rsidR="00AD7EEA" w:rsidRDefault="00AD7EEA">
      <w:pPr>
        <w:jc w:val="both"/>
      </w:pPr>
    </w:p>
    <w:p w:rsidR="00AD7EEA" w:rsidRDefault="00322AC2">
      <w:pPr>
        <w:jc w:val="both"/>
      </w:pPr>
      <w:r>
        <w:rPr>
          <w:noProof/>
          <w:lang w:val="es-419" w:eastAsia="es-419"/>
        </w:rPr>
        <w:drawing>
          <wp:inline distT="0" distB="0" distL="0" distR="0">
            <wp:extent cx="5442065" cy="1524000"/>
            <wp:effectExtent l="0" t="0" r="6350" b="0"/>
            <wp:docPr id="2110514431"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0"/>
                    <a:srcRect/>
                    <a:stretch>
                      <a:fillRect/>
                    </a:stretch>
                  </pic:blipFill>
                  <pic:spPr>
                    <a:xfrm>
                      <a:off x="0" y="0"/>
                      <a:ext cx="5447557" cy="1525538"/>
                    </a:xfrm>
                    <a:prstGeom prst="rect">
                      <a:avLst/>
                    </a:prstGeom>
                    <a:ln/>
                  </pic:spPr>
                </pic:pic>
              </a:graphicData>
            </a:graphic>
          </wp:inline>
        </w:drawing>
      </w:r>
    </w:p>
    <w:p w:rsidR="00AD7EEA" w:rsidRPr="00B94D2F" w:rsidRDefault="00322AC2" w:rsidP="00B94D2F">
      <w:pPr>
        <w:jc w:val="both"/>
        <w:rPr>
          <w:sz w:val="18"/>
          <w:szCs w:val="18"/>
        </w:rPr>
      </w:pPr>
      <w:r w:rsidRPr="00B94D2F">
        <w:rPr>
          <w:sz w:val="18"/>
          <w:szCs w:val="18"/>
        </w:rPr>
        <w:t>Nota. Análisis Horizontal Siniestros Viales Bogotá 2020-2022 con base en datos obtenidos del Observatorio de Movilidad de la Secretaría Distrital de Movilidad.</w:t>
      </w:r>
    </w:p>
    <w:p w:rsidR="00AD7EEA" w:rsidRDefault="00AD7EEA">
      <w:pPr>
        <w:ind w:firstLine="709"/>
        <w:jc w:val="both"/>
      </w:pPr>
    </w:p>
    <w:p w:rsidR="00AD7EEA" w:rsidRDefault="00322AC2">
      <w:pPr>
        <w:jc w:val="both"/>
      </w:pPr>
      <w:r>
        <w:t>De acuerdo con la tabla 4, se puede evidenciar que, en el año 2022, respecto al año 2021, las víctimas fatales tuvieron un aumento 17% con total de 76 víctimas más.</w:t>
      </w:r>
    </w:p>
    <w:p w:rsidR="00AD7EEA" w:rsidRDefault="00322AC2">
      <w:pPr>
        <w:jc w:val="both"/>
      </w:pPr>
      <w:r>
        <w:t>Respecto a los lesionados, en el año 2022, respecto al año 2021, hubo un aumento de 3132 lesionados más con un aumento del 17%.</w:t>
      </w:r>
    </w:p>
    <w:p w:rsidR="00AD7EEA" w:rsidRDefault="00AD7EEA">
      <w:pPr>
        <w:jc w:val="both"/>
        <w:rPr>
          <w:b/>
        </w:rPr>
      </w:pPr>
    </w:p>
    <w:p w:rsidR="00181544" w:rsidRDefault="00181544" w:rsidP="00042913">
      <w:pPr>
        <w:jc w:val="center"/>
        <w:rPr>
          <w:b/>
        </w:rPr>
      </w:pPr>
    </w:p>
    <w:p w:rsidR="00181544" w:rsidRDefault="00181544" w:rsidP="00042913">
      <w:pPr>
        <w:jc w:val="center"/>
        <w:rPr>
          <w:b/>
        </w:rPr>
      </w:pPr>
    </w:p>
    <w:p w:rsidR="00181544" w:rsidRDefault="00181544" w:rsidP="00042913">
      <w:pPr>
        <w:jc w:val="center"/>
        <w:rPr>
          <w:b/>
        </w:rPr>
      </w:pPr>
    </w:p>
    <w:p w:rsidR="00181544" w:rsidRDefault="00181544" w:rsidP="00042913">
      <w:pPr>
        <w:jc w:val="center"/>
        <w:rPr>
          <w:b/>
        </w:rPr>
      </w:pPr>
    </w:p>
    <w:p w:rsidR="00181544" w:rsidRDefault="00181544" w:rsidP="00042913">
      <w:pPr>
        <w:jc w:val="center"/>
        <w:rPr>
          <w:b/>
        </w:rPr>
      </w:pPr>
    </w:p>
    <w:p w:rsidR="00181544" w:rsidRDefault="00181544" w:rsidP="00042913">
      <w:pPr>
        <w:jc w:val="center"/>
        <w:rPr>
          <w:b/>
        </w:rPr>
      </w:pPr>
    </w:p>
    <w:p w:rsidR="00181544" w:rsidRDefault="00181544" w:rsidP="00042913">
      <w:pPr>
        <w:jc w:val="center"/>
        <w:rPr>
          <w:b/>
        </w:rPr>
      </w:pPr>
    </w:p>
    <w:p w:rsidR="00AD7EEA" w:rsidRDefault="00322AC2" w:rsidP="00042913">
      <w:pPr>
        <w:jc w:val="center"/>
      </w:pPr>
      <w:r>
        <w:rPr>
          <w:b/>
        </w:rPr>
        <w:lastRenderedPageBreak/>
        <w:t>Tabla 5</w:t>
      </w:r>
    </w:p>
    <w:p w:rsidR="00AD7EEA" w:rsidRDefault="00322AC2" w:rsidP="00042913">
      <w:pPr>
        <w:jc w:val="center"/>
      </w:pPr>
      <w:r>
        <w:t>Análisis Horizontal Víctimas Fatales Siniestros Viales Bogotá Según Actor Vial 2020-2022</w:t>
      </w:r>
    </w:p>
    <w:p w:rsidR="00AD7EEA" w:rsidRDefault="00322AC2">
      <w:pPr>
        <w:ind w:firstLine="709"/>
        <w:jc w:val="both"/>
      </w:pPr>
      <w:r>
        <w:rPr>
          <w:noProof/>
          <w:lang w:val="es-419" w:eastAsia="es-419"/>
        </w:rPr>
        <w:drawing>
          <wp:anchor distT="0" distB="0" distL="114300" distR="114300" simplePos="0" relativeHeight="251658240" behindDoc="0" locked="0" layoutInCell="1" hidden="0" allowOverlap="1">
            <wp:simplePos x="0" y="0"/>
            <wp:positionH relativeFrom="margin">
              <wp:align>left</wp:align>
            </wp:positionH>
            <wp:positionV relativeFrom="paragraph">
              <wp:posOffset>38100</wp:posOffset>
            </wp:positionV>
            <wp:extent cx="5303520" cy="1600200"/>
            <wp:effectExtent l="0" t="0" r="0" b="0"/>
            <wp:wrapSquare wrapText="bothSides" distT="0" distB="0" distL="114300" distR="114300"/>
            <wp:docPr id="2110514425"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21"/>
                    <a:srcRect/>
                    <a:stretch>
                      <a:fillRect/>
                    </a:stretch>
                  </pic:blipFill>
                  <pic:spPr>
                    <a:xfrm>
                      <a:off x="0" y="0"/>
                      <a:ext cx="5303520" cy="1600200"/>
                    </a:xfrm>
                    <a:prstGeom prst="rect">
                      <a:avLst/>
                    </a:prstGeom>
                    <a:ln/>
                  </pic:spPr>
                </pic:pic>
              </a:graphicData>
            </a:graphic>
            <wp14:sizeRelH relativeFrom="margin">
              <wp14:pctWidth>0</wp14:pctWidth>
            </wp14:sizeRelH>
          </wp:anchor>
        </w:drawing>
      </w:r>
    </w:p>
    <w:p w:rsidR="00AD7EEA" w:rsidRPr="00B94D2F" w:rsidRDefault="00322AC2" w:rsidP="00B94D2F">
      <w:pPr>
        <w:jc w:val="both"/>
        <w:rPr>
          <w:sz w:val="18"/>
          <w:szCs w:val="18"/>
        </w:rPr>
      </w:pPr>
      <w:r w:rsidRPr="00B94D2F">
        <w:rPr>
          <w:sz w:val="18"/>
          <w:szCs w:val="18"/>
        </w:rPr>
        <w:t>Nota. Análisis Horizontal Víctimas Fatales Siniestros Viales Bogotá Según Actor Vial 2020-2022 con base en datos obtenidos del Observatorio de Movilidad de la Secretaría Distrital de Movilidad.</w:t>
      </w:r>
    </w:p>
    <w:p w:rsidR="00AD7EEA" w:rsidRDefault="00AD7EEA">
      <w:pPr>
        <w:ind w:firstLine="709"/>
        <w:jc w:val="both"/>
      </w:pPr>
    </w:p>
    <w:p w:rsidR="00AD7EEA" w:rsidRDefault="00322AC2">
      <w:pPr>
        <w:jc w:val="both"/>
      </w:pPr>
      <w:r>
        <w:t>Considerando la tabla 5, se puede evidenciar que las víctimas fatales por siniestros viales según actor vial en el año 2022 respecto al año 2021, tuvieron el siguiente comportamiento: los pasajeros un aumento del 27% con 11 fatalidades más; los motociclistas un aumento del 24% con 38 fatalidades más; los peatones un aumento del 15% con 26 fatalidades más; los Ciclistas con aumento del 3% y 2 fatalidades más y finalmente solamente los conductores tuvieron una reducción del 9% con 1 fatalidad menos.</w:t>
      </w:r>
    </w:p>
    <w:p w:rsidR="00AD7EEA" w:rsidRDefault="00AD7EEA" w:rsidP="00042913">
      <w:pPr>
        <w:jc w:val="center"/>
      </w:pPr>
    </w:p>
    <w:p w:rsidR="00AD7EEA" w:rsidRDefault="00322AC2" w:rsidP="00042913">
      <w:pPr>
        <w:jc w:val="center"/>
        <w:rPr>
          <w:b/>
        </w:rPr>
      </w:pPr>
      <w:r>
        <w:rPr>
          <w:b/>
        </w:rPr>
        <w:t>Tabla 6</w:t>
      </w:r>
    </w:p>
    <w:p w:rsidR="00AD7EEA" w:rsidRDefault="00322AC2" w:rsidP="00042913">
      <w:pPr>
        <w:jc w:val="center"/>
      </w:pPr>
      <w:r>
        <w:t>Análisis Horizontal Víctimas Lesionadas Siniestros Viales Bogotá Según Actor Vial 2020-2022</w:t>
      </w:r>
    </w:p>
    <w:p w:rsidR="00AD7EEA" w:rsidRDefault="00AD7EEA">
      <w:pPr>
        <w:jc w:val="both"/>
      </w:pPr>
    </w:p>
    <w:p w:rsidR="00AD7EEA" w:rsidRDefault="00322AC2">
      <w:pPr>
        <w:jc w:val="both"/>
      </w:pPr>
      <w:r>
        <w:rPr>
          <w:noProof/>
          <w:lang w:val="es-419" w:eastAsia="es-419"/>
        </w:rPr>
        <w:drawing>
          <wp:inline distT="0" distB="0" distL="0" distR="0">
            <wp:extent cx="5541818" cy="1876425"/>
            <wp:effectExtent l="0" t="0" r="1905" b="0"/>
            <wp:docPr id="2110514433"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22"/>
                    <a:srcRect/>
                    <a:stretch>
                      <a:fillRect/>
                    </a:stretch>
                  </pic:blipFill>
                  <pic:spPr>
                    <a:xfrm>
                      <a:off x="0" y="0"/>
                      <a:ext cx="5548468" cy="1878677"/>
                    </a:xfrm>
                    <a:prstGeom prst="rect">
                      <a:avLst/>
                    </a:prstGeom>
                    <a:ln/>
                  </pic:spPr>
                </pic:pic>
              </a:graphicData>
            </a:graphic>
          </wp:inline>
        </w:drawing>
      </w:r>
    </w:p>
    <w:p w:rsidR="00AD7EEA" w:rsidRPr="00B94D2F" w:rsidRDefault="00322AC2" w:rsidP="00B94D2F">
      <w:pPr>
        <w:jc w:val="both"/>
        <w:rPr>
          <w:sz w:val="18"/>
          <w:szCs w:val="18"/>
        </w:rPr>
      </w:pPr>
      <w:r w:rsidRPr="00B94D2F">
        <w:rPr>
          <w:sz w:val="18"/>
          <w:szCs w:val="18"/>
        </w:rPr>
        <w:lastRenderedPageBreak/>
        <w:t>Nota. Análisis Horizontal Víctimas Lesionadas Siniestros Viales Bogotá Según Actor Vial 2020-2022 con base en datos obtenidos del Observatorio de Movilidad de la Secretaría Distrital de Movilidad.</w:t>
      </w:r>
    </w:p>
    <w:p w:rsidR="00B94D2F" w:rsidRDefault="00B94D2F">
      <w:pPr>
        <w:ind w:firstLine="709"/>
        <w:jc w:val="both"/>
      </w:pPr>
    </w:p>
    <w:p w:rsidR="00AD7EEA" w:rsidRDefault="00322AC2">
      <w:pPr>
        <w:jc w:val="both"/>
      </w:pPr>
      <w:r>
        <w:t>Respecto a los lesionados, en el año 2022, respecto al año 2021, hubo un aumento de 3132 lesionados más con un aumento del 17% y por actor vial se evidencia el siguiente comportamiento: los peatones un aumento del 26% con 645 lesionados más; los conductores un aumento del 23% con  568 lesionados más; pasajeros un aumento del 20% con  895 lesionados más; motociclistas un aumento del 18% con 1202 lesionados más y finalmente solamente en los ciclistas hubo una reducción del 8% con 178 lesionados menos en el año 2022.</w:t>
      </w:r>
      <w:r w:rsidR="003A39B9">
        <w:t xml:space="preserve"> </w:t>
      </w:r>
    </w:p>
    <w:p w:rsidR="00AD7EEA" w:rsidRDefault="00AD7EEA">
      <w:pPr>
        <w:jc w:val="both"/>
      </w:pPr>
    </w:p>
    <w:p w:rsidR="00AD7EEA" w:rsidRDefault="00322AC2">
      <w:pPr>
        <w:jc w:val="both"/>
      </w:pPr>
      <w:bookmarkStart w:id="1" w:name="_heading=h.gjdgxs" w:colFirst="0" w:colLast="0"/>
      <w:bookmarkEnd w:id="1"/>
      <w:r>
        <w:t>De igual forma, es importante referir que no se efectúa  comparación con las cifras del año 2020, considerando que el mismo fue un año atípico, debido a las acciones realizadas a causa de la emergencia sanitaria por el COVID-19, motivo por el cual no se llevaron a cabo los viajes que se realizan en un año normal, debido a las distintas medidas de restricción a la movilidad establecidas por la administración, no obstante, se evidencia un alto número de siniestros y 364 fatalidades, lo cual demuestra el rol del  factor humano en la generación de los siniestros viales, con la práctica de malas acciones como el exceso de velocidad.</w:t>
      </w:r>
    </w:p>
    <w:p w:rsidR="00AD7EEA" w:rsidRDefault="00AD7EEA">
      <w:pPr>
        <w:jc w:val="both"/>
      </w:pPr>
    </w:p>
    <w:p w:rsidR="00AD7EEA" w:rsidRDefault="00322AC2">
      <w:pPr>
        <w:jc w:val="both"/>
        <w:rPr>
          <w:i/>
        </w:rPr>
      </w:pPr>
      <w:r>
        <w:t>Ahora bien, según la Agencia Nacional de Seguridad Vial, e</w:t>
      </w:r>
      <w:r>
        <w:rPr>
          <w:i/>
        </w:rPr>
        <w:t>n Colombia los siniestros viales son la primera causa de muerte en los niños y adolescentes entre los 5 y los 14 años</w:t>
      </w:r>
      <w:r>
        <w:rPr>
          <w:i/>
          <w:vertAlign w:val="superscript"/>
        </w:rPr>
        <w:footnoteReference w:id="1"/>
      </w:r>
    </w:p>
    <w:p w:rsidR="00AD7EEA" w:rsidRDefault="00AD7EEA">
      <w:pPr>
        <w:jc w:val="both"/>
        <w:rPr>
          <w:i/>
        </w:rPr>
      </w:pPr>
    </w:p>
    <w:p w:rsidR="00AD7EEA" w:rsidRDefault="00322AC2">
      <w:pPr>
        <w:jc w:val="both"/>
      </w:pPr>
      <w:r>
        <w:t>En el mismo sentido, la Secretaría Distrital de Movilidad</w:t>
      </w:r>
      <w:r>
        <w:rPr>
          <w:vertAlign w:val="superscript"/>
        </w:rPr>
        <w:footnoteReference w:id="2"/>
      </w:r>
      <w:r>
        <w:rPr>
          <w:vertAlign w:val="superscript"/>
        </w:rPr>
        <w:t xml:space="preserve">, </w:t>
      </w:r>
      <w:r>
        <w:t>refiere:</w:t>
      </w:r>
    </w:p>
    <w:p w:rsidR="00042913" w:rsidRDefault="00042913">
      <w:pPr>
        <w:jc w:val="both"/>
      </w:pPr>
    </w:p>
    <w:p w:rsidR="00AD7EEA" w:rsidRDefault="00322AC2" w:rsidP="00042913">
      <w:pPr>
        <w:ind w:left="720"/>
        <w:jc w:val="both"/>
        <w:rPr>
          <w:i/>
        </w:rPr>
      </w:pPr>
      <w:r>
        <w:rPr>
          <w:i/>
        </w:rPr>
        <w:t>Los siniestros viales que cuentan con información de hipótesis, el mayor porcentaje están asociados al factor humano (conductor), y esto tiene que ver básicamente con la toma de decisiones en el momento de movilizarse en la ciudad, decisiones que son totalmente modificables y que pueden en el caso de la siniestralidad vial disminuir la cantidad de personas que podrían resultar heridas o muertas por una mala decisión.</w:t>
      </w:r>
    </w:p>
    <w:p w:rsidR="00AD7EEA" w:rsidRDefault="00AD7EEA">
      <w:pPr>
        <w:jc w:val="both"/>
        <w:rPr>
          <w:i/>
        </w:rPr>
      </w:pPr>
    </w:p>
    <w:p w:rsidR="00AD7EEA" w:rsidRDefault="00322AC2">
      <w:pPr>
        <w:jc w:val="both"/>
        <w:rPr>
          <w:i/>
        </w:rPr>
      </w:pPr>
      <w:r>
        <w:rPr>
          <w:i/>
        </w:rPr>
        <w:t xml:space="preserve">Así mismo, de manera particular, el exceso de velocidad es un factor de riesgo clave en la siniestralidad vial ya que, a mayor velocidad, aumenta la probabilidad de colisión y la distancia necesaria para detener totalmente el vehículo se incrementa. </w:t>
      </w:r>
      <w:r>
        <w:rPr>
          <w:i/>
        </w:rPr>
        <w:lastRenderedPageBreak/>
        <w:t>Además, a mayor velocidad se aumenta la gravedad de las heridas en el cuerpo humano y consecuencias de una colisión, pues la fuerza del impacto es mayor.</w:t>
      </w:r>
    </w:p>
    <w:p w:rsidR="00AD7EEA" w:rsidRDefault="00AD7EEA">
      <w:pPr>
        <w:jc w:val="both"/>
        <w:rPr>
          <w:i/>
        </w:rPr>
      </w:pPr>
    </w:p>
    <w:p w:rsidR="00AD7EEA" w:rsidRDefault="00322AC2">
      <w:pPr>
        <w:jc w:val="both"/>
      </w:pPr>
      <w:r>
        <w:t>De igual forma, es importante referir que, en Colombia según el Instituto De Medicina Legal y Ciencias Forenses, los Siniestros Viales son la segunda causa de muerte violenta (Fondo de prevención vial, 2010), así como la primera causa de muerte de los jóvenes colombianos menores de 30 años (Contraloría General, 2012). (PNSV, 2011).</w:t>
      </w:r>
    </w:p>
    <w:p w:rsidR="00AD7EEA" w:rsidRDefault="00AD7EEA">
      <w:pPr>
        <w:jc w:val="both"/>
      </w:pPr>
    </w:p>
    <w:p w:rsidR="00AD7EEA" w:rsidRDefault="00322AC2">
      <w:pPr>
        <w:jc w:val="both"/>
        <w:rPr>
          <w:i/>
        </w:rPr>
      </w:pPr>
      <w:r>
        <w:t xml:space="preserve">Ahora bien, </w:t>
      </w:r>
      <w:r>
        <w:rPr>
          <w:i/>
        </w:rPr>
        <w:t>el panorama de la seguridad vial de niños, niñas y adolescentes especialmente en la región de América Latina y el Caribe es crítico, pues los siniestros viales son, según María Ceval, “la principal causa de muerte entre niños de cinco a 14 años, la segunda entre adolescentes de 15 a 19 años y se encuentra entre las causas más frecuentes de discapacidades entre aquellos que logran sobrevivir</w:t>
      </w:r>
      <w:r>
        <w:rPr>
          <w:i/>
          <w:vertAlign w:val="superscript"/>
        </w:rPr>
        <w:footnoteReference w:id="3"/>
      </w:r>
      <w:r>
        <w:rPr>
          <w:i/>
        </w:rPr>
        <w:t xml:space="preserve"> (ANSV).</w:t>
      </w:r>
    </w:p>
    <w:p w:rsidR="00AD7EEA" w:rsidRDefault="00AD7EEA">
      <w:pPr>
        <w:jc w:val="both"/>
        <w:rPr>
          <w:i/>
        </w:rPr>
      </w:pPr>
    </w:p>
    <w:p w:rsidR="00AD7EEA" w:rsidRDefault="00042913">
      <w:pPr>
        <w:jc w:val="both"/>
      </w:pPr>
      <w:r>
        <w:t>Además</w:t>
      </w:r>
      <w:r w:rsidR="00322AC2">
        <w:t>, “</w:t>
      </w:r>
      <w:r w:rsidR="00322AC2">
        <w:rPr>
          <w:i/>
        </w:rPr>
        <w:t>en Colombia, según los datos del Observatorio de Seguridad Vial, durante los años 2017, 2018 y 2019, los siniestros viales constituyeron la segunda causa de muerte violenta por lesión de causa externa en niños, niñas y adolescentes. Según el Boletín estadístico Colombia. Fallecidos y lesionados. Serie nacional. Final 2018 - 2019 de la Agencia Nacional de Seguridad Vial (ANSV), 114 niños y niñas (entre 0 y 9 años), y 640 jóvenes (entre 10 y 19 años) murieron en siniestros viales durante el 2019 (julio del 2020, p. 4). En este periodo, también resultaron lesionados 1148 niños y niñas, y 3385 jóvenes (p. 12) por la misma causa</w:t>
      </w:r>
      <w:r w:rsidR="00322AC2">
        <w:rPr>
          <w:i/>
          <w:vertAlign w:val="superscript"/>
        </w:rPr>
        <w:footnoteReference w:id="4"/>
      </w:r>
      <w:r w:rsidR="00322AC2">
        <w:t>”.</w:t>
      </w:r>
    </w:p>
    <w:p w:rsidR="00AD7EEA" w:rsidRDefault="00AD7EEA">
      <w:pPr>
        <w:jc w:val="both"/>
      </w:pPr>
    </w:p>
    <w:p w:rsidR="00AD7EEA" w:rsidRDefault="00322AC2">
      <w:pPr>
        <w:jc w:val="both"/>
        <w:rPr>
          <w:i/>
        </w:rPr>
      </w:pPr>
      <w:r>
        <w:t>De tal modo, como lo refiere la Organización Mundial de la Salud</w:t>
      </w:r>
      <w:r>
        <w:rPr>
          <w:i/>
        </w:rPr>
        <w:t>, en general, niños, niñas y adolescentes son actores especialmente vulnerables en la vía, a causa de las características del desarrollo físico, cognitivo y social propias de la etapa vital en la que se encuentran. En términos físicos, las niñas y niños son más vulnerables debido a que su baja estatura dificulta su visibilidad. Por otra parte, “los niños más pequeños pueden tener dificultades para interpretar las diferentes señales y sonidos, lo que podría influir en su apreciación de la proximidad, velocidad y dirección de vehículos en movimiento</w:t>
      </w:r>
      <w:r>
        <w:rPr>
          <w:i/>
          <w:vertAlign w:val="superscript"/>
        </w:rPr>
        <w:footnoteReference w:id="5"/>
      </w:r>
      <w:r>
        <w:rPr>
          <w:i/>
        </w:rPr>
        <w:t>.</w:t>
      </w:r>
    </w:p>
    <w:p w:rsidR="00AD7EEA" w:rsidRDefault="00AD7EEA">
      <w:pPr>
        <w:jc w:val="both"/>
        <w:rPr>
          <w:i/>
        </w:rPr>
      </w:pPr>
    </w:p>
    <w:p w:rsidR="00AD7EEA" w:rsidRDefault="00322AC2">
      <w:pPr>
        <w:jc w:val="both"/>
        <w:rPr>
          <w:i/>
        </w:rPr>
      </w:pPr>
      <w:r>
        <w:lastRenderedPageBreak/>
        <w:t xml:space="preserve">Es así, que como lo define la Agencia Nacional de Seguridad Vial, </w:t>
      </w:r>
      <w:r>
        <w:rPr>
          <w:i/>
        </w:rPr>
        <w:t>precisamente para trabajar sobre la movilidad segura en instituciones educativas, se debe reconocer la vulnerabilidad de los menores de edad y la prevalencia de su protección. De conformidad con lo dispuesto en la Ley 1098 de 2006, por la cual se expide el Código de Infancia y Adolescencia, en todo aquello que involucre a menores de dieciocho años se debe tener en cuenta el concepto de interés superior de niños, niñas y adolescentes que se entiende como “el imperativo que obliga a todas las personas a garantizar la satisfacción integral y simultánea de todos sus</w:t>
      </w:r>
    </w:p>
    <w:p w:rsidR="00AD7EEA" w:rsidRDefault="00322AC2">
      <w:pPr>
        <w:jc w:val="both"/>
        <w:rPr>
          <w:i/>
        </w:rPr>
      </w:pPr>
      <w:r>
        <w:rPr>
          <w:i/>
        </w:rPr>
        <w:t>Derechos Humanos, que son universales, prevalentes e interdependientes” (art. 8). El Código de Infancia y Adolescencia reconoce a los menores de dieciocho años como sujetos poseedores de derechos, entre otros, del derecho a la vida, del derecho a la integridad personal y de derechos de protección que incluye ser protegidos contra “cualquier otro acto que amenace o vulnere sus derechos” (art. 20, núm. 19)</w:t>
      </w:r>
      <w:r>
        <w:rPr>
          <w:i/>
          <w:vertAlign w:val="superscript"/>
        </w:rPr>
        <w:footnoteReference w:id="6"/>
      </w:r>
      <w:r>
        <w:rPr>
          <w:i/>
        </w:rPr>
        <w:t>.</w:t>
      </w:r>
    </w:p>
    <w:p w:rsidR="00AD7EEA" w:rsidRDefault="00AD7EEA">
      <w:pPr>
        <w:jc w:val="both"/>
        <w:rPr>
          <w:i/>
        </w:rPr>
      </w:pPr>
    </w:p>
    <w:p w:rsidR="00AD7EEA" w:rsidRDefault="00322AC2">
      <w:pPr>
        <w:numPr>
          <w:ilvl w:val="1"/>
          <w:numId w:val="2"/>
        </w:numPr>
        <w:pBdr>
          <w:top w:val="nil"/>
          <w:left w:val="nil"/>
          <w:bottom w:val="nil"/>
          <w:right w:val="nil"/>
          <w:between w:val="nil"/>
        </w:pBdr>
        <w:spacing w:line="259" w:lineRule="auto"/>
        <w:jc w:val="both"/>
        <w:rPr>
          <w:b/>
        </w:rPr>
      </w:pPr>
      <w:r>
        <w:rPr>
          <w:b/>
        </w:rPr>
        <w:t>Accionar mundial</w:t>
      </w:r>
    </w:p>
    <w:p w:rsidR="00AD7EEA" w:rsidRDefault="00AD7EEA">
      <w:pPr>
        <w:pBdr>
          <w:top w:val="nil"/>
          <w:left w:val="nil"/>
          <w:bottom w:val="nil"/>
          <w:right w:val="nil"/>
          <w:between w:val="nil"/>
        </w:pBdr>
        <w:ind w:left="1110"/>
        <w:jc w:val="both"/>
        <w:rPr>
          <w:b/>
        </w:rPr>
      </w:pPr>
    </w:p>
    <w:p w:rsidR="00AD7EEA" w:rsidRDefault="00322AC2">
      <w:pPr>
        <w:jc w:val="both"/>
      </w:pPr>
      <w:r>
        <w:t>Naciones Unidas: 2010- se proclama el Decenio de Acción por la Seguridad Vial (2011-2020): con el objetivo de estabilizar y después reducir las muertes por accidentes viales al 2020.</w:t>
      </w:r>
    </w:p>
    <w:p w:rsidR="00AD7EEA" w:rsidRDefault="00AD7EEA">
      <w:pPr>
        <w:jc w:val="both"/>
      </w:pPr>
    </w:p>
    <w:p w:rsidR="00AD7EEA" w:rsidRDefault="00322AC2">
      <w:pPr>
        <w:jc w:val="both"/>
      </w:pPr>
      <w:r>
        <w:t>Naciones Unidas: 2020 proclama el Segundo Decenio de Acción por la Seguridad Vial (2021-2030): objetivo: prevenir al menos el 50% de las muertes y lesiones en el tránsito para 2039.</w:t>
      </w:r>
    </w:p>
    <w:p w:rsidR="00AD7EEA" w:rsidRDefault="00AD7EEA">
      <w:pPr>
        <w:jc w:val="both"/>
      </w:pPr>
    </w:p>
    <w:p w:rsidR="00AD7EEA" w:rsidRDefault="00322AC2">
      <w:pPr>
        <w:jc w:val="both"/>
      </w:pPr>
      <w:r>
        <w:t>Objetivos de Desarrollo Sostenible: Eje salud y Bienestar, Eje Ciudades y comunidades sostenibles y la Nueva agenda Urbana: se establece, la necesidad de incorporar la seguridad vial en los procesos de planificación y gestión del desarrollo urbano.</w:t>
      </w:r>
    </w:p>
    <w:p w:rsidR="00AD7EEA" w:rsidRDefault="00AD7EEA">
      <w:pPr>
        <w:jc w:val="both"/>
      </w:pPr>
    </w:p>
    <w:p w:rsidR="00AD7EEA" w:rsidRDefault="00322AC2">
      <w:pPr>
        <w:jc w:val="both"/>
      </w:pPr>
      <w:r>
        <w:t>En el año 2007, se establece el Decreto 164 DE 2007, “por el cual se adopta la formación en seguridad vial escolar como proyecto pedagógico transversal del currículo para todas las instituciones educativas públicas y privadas de Bogotá D.C.”</w:t>
      </w:r>
    </w:p>
    <w:p w:rsidR="00AD7EEA" w:rsidRDefault="00322AC2">
      <w:pPr>
        <w:jc w:val="both"/>
      </w:pPr>
      <w:r>
        <w:t>En el año 2011, se proclama la Ley 1503 del 2011: Por la cual se promueve la formación de hábitos, comportamientos y conductas seguros en la vía y se dictan otras disposiciones.</w:t>
      </w:r>
    </w:p>
    <w:p w:rsidR="00AD7EEA" w:rsidRDefault="00AD7EEA">
      <w:pPr>
        <w:jc w:val="both"/>
      </w:pPr>
    </w:p>
    <w:p w:rsidR="00AD7EEA" w:rsidRDefault="00322AC2">
      <w:pPr>
        <w:jc w:val="both"/>
      </w:pPr>
      <w:r>
        <w:t xml:space="preserve">En el 2013, se estableció el Plan Nacional de Seguridad Vial, su objetivo es: Implementar acciones que permitan la disminución del número de víctimas fatales en un </w:t>
      </w:r>
      <w:r>
        <w:rPr>
          <w:b/>
        </w:rPr>
        <w:t>25%</w:t>
      </w:r>
      <w:r>
        <w:t xml:space="preserve"> por hechos de tránsito a nivel nacional para el año 2021.</w:t>
      </w:r>
    </w:p>
    <w:p w:rsidR="00AD7EEA" w:rsidRDefault="00AD7EEA">
      <w:pPr>
        <w:jc w:val="both"/>
      </w:pPr>
    </w:p>
    <w:p w:rsidR="00AD7EEA" w:rsidRDefault="00322AC2">
      <w:pPr>
        <w:jc w:val="both"/>
        <w:rPr>
          <w:i/>
        </w:rPr>
      </w:pPr>
      <w:r>
        <w:t xml:space="preserve">A su vez, en el PNSV, establece, </w:t>
      </w:r>
      <w:r>
        <w:rPr>
          <w:i/>
        </w:rPr>
        <w:t>dentro del pilar de comportamiento humano, el programa de formación en seguridad vial, que incluye una acción dirigida a la transformación de las instituciones educativas en comunidades seguras. Las instituciones educativas, como comunidades seguras, son aquellas en las que se identifican los modos de transporte que usan los estudiantes para su desplazamiento y los riesgos viales en el camino desde casa hasta la institución y viceversa. A partir de esto, se establecen e implementan las acciones necesarias para lograr una movilidad segura en cada institución educativa</w:t>
      </w:r>
      <w:r>
        <w:rPr>
          <w:i/>
          <w:vertAlign w:val="superscript"/>
        </w:rPr>
        <w:footnoteReference w:id="7"/>
      </w:r>
      <w:r>
        <w:rPr>
          <w:i/>
        </w:rPr>
        <w:t xml:space="preserve"> (ANSV)</w:t>
      </w:r>
    </w:p>
    <w:p w:rsidR="00AD7EEA" w:rsidRDefault="00AD7EEA">
      <w:pPr>
        <w:jc w:val="both"/>
      </w:pPr>
    </w:p>
    <w:p w:rsidR="00AD7EEA" w:rsidRDefault="00322AC2">
      <w:pPr>
        <w:jc w:val="both"/>
      </w:pPr>
      <w:r>
        <w:t xml:space="preserve">En el año 2013, se crea la Agencia Nacional De Seguridad Vial, cuyo objetivo es: La Agencia Nacional de Seguridad Vial (ANSV), tendrá como </w:t>
      </w:r>
      <w:r>
        <w:rPr>
          <w:i/>
        </w:rPr>
        <w:t>objeto la planificación, articulación y gestión de la seguridad vial del país</w:t>
      </w:r>
      <w:r>
        <w:t>. (Ley 1702, 2013)</w:t>
      </w:r>
    </w:p>
    <w:p w:rsidR="00AD7EEA" w:rsidRDefault="00322AC2">
      <w:pPr>
        <w:jc w:val="both"/>
      </w:pPr>
      <w:r>
        <w:t>En el año 2010, en la Ciudad de Bogotá, se estableció el Plan Distrital de Seguridad Vial, el cual fue modificado en el año 2017, desarrollando de esta manera el Plan Distrital de Seguridad Vial-PDSV 2017-2026, en el mismo se incorpora principalmente la Política de Visión Cero y dentro de sus metas está el “Disminuir los heridos graves y muertes en un 35% en los próximos 10 años, tomando como base el año 2015.”</w:t>
      </w:r>
    </w:p>
    <w:p w:rsidR="00AD7EEA" w:rsidRDefault="00AD7EEA">
      <w:pPr>
        <w:jc w:val="both"/>
      </w:pPr>
    </w:p>
    <w:p w:rsidR="00AD7EEA" w:rsidRDefault="00322AC2">
      <w:pPr>
        <w:jc w:val="both"/>
      </w:pPr>
      <w:r>
        <w:t>En el año 2016, mediante el Acuerdo 650 de 2016, se crea el programa “Innovadores Escolares en Seguridad Vial” en los planes de formación en seguridad vial escolar en el Distrito Capital” y se dictan otras disposiciones”.</w:t>
      </w:r>
    </w:p>
    <w:p w:rsidR="00AD7EEA" w:rsidRDefault="00AD7EEA">
      <w:pPr>
        <w:jc w:val="both"/>
      </w:pPr>
    </w:p>
    <w:p w:rsidR="00AD7EEA" w:rsidRDefault="00322AC2">
      <w:pPr>
        <w:jc w:val="both"/>
      </w:pPr>
      <w:r>
        <w:t>En el año 2022, se proclama el Decreto 1430 de 2022: Plan Nacional de Seguridad Vial 2022-2031- Meta: Reducir el 50% de muertes y lesionados por siniestros viales.</w:t>
      </w:r>
    </w:p>
    <w:p w:rsidR="00AD7EEA" w:rsidRDefault="00322AC2">
      <w:pPr>
        <w:jc w:val="both"/>
      </w:pPr>
      <w:r>
        <w:t>En octubre del año 2023, se expide el Decreto 494 de 2023, por el cual de adopta el Plan Distrital de Seguridad Vial 2023-2032 y se dictan otras disposiciones. Cuya Meta estratégica es: la meta del PDSV 2023-2032 es reducir en un 50% el número de víctimas fallecidas (indicador a 30 días) en siniestros viales para el año 2032, tomando como base la cifra definitiva del año 2022.</w:t>
      </w:r>
    </w:p>
    <w:p w:rsidR="00AD7EEA" w:rsidRDefault="00AD7EEA">
      <w:pPr>
        <w:jc w:val="both"/>
      </w:pPr>
    </w:p>
    <w:p w:rsidR="00AD7EEA" w:rsidRDefault="00322AC2">
      <w:pPr>
        <w:jc w:val="both"/>
      </w:pPr>
      <w:r>
        <w:lastRenderedPageBreak/>
        <w:t>De acuerdo con el estudio realizado por el equipo de trabajo, se evidencia respecto a las acciones realizadas por la Secretaría Distrital de Educación para la vigencia 2020-2022, para el cumplimiento del Acuerdo 650 del 2016</w:t>
      </w:r>
      <w:r>
        <w:rPr>
          <w:vertAlign w:val="superscript"/>
        </w:rPr>
        <w:footnoteReference w:id="8"/>
      </w:r>
      <w:r>
        <w:t>, lo siguiente:</w:t>
      </w:r>
    </w:p>
    <w:p w:rsidR="00AD7EEA" w:rsidRDefault="00AD7EEA">
      <w:pPr>
        <w:jc w:val="both"/>
      </w:pPr>
    </w:p>
    <w:p w:rsidR="00AD7EEA" w:rsidRDefault="00322AC2">
      <w:pPr>
        <w:jc w:val="both"/>
        <w:rPr>
          <w:i/>
        </w:rPr>
      </w:pPr>
      <w:r>
        <w:rPr>
          <w:b/>
        </w:rPr>
        <w:t xml:space="preserve">Año 2020: </w:t>
      </w:r>
      <w:r>
        <w:rPr>
          <w:i/>
        </w:rPr>
        <w:t xml:space="preserve">El Concurso intercolegiado de historietas “Una historia para sanar a Bogotá́”: con el objetivo de promover y fortalecer valores, actitudes y comportamientos ciudadanos que se reflejarán en el conocimiento, apropiación y uso adecuado del Sistema Integrado de Transporte Público de Bogotá́ en los actuales y futuros usuarios, se propuso el concurso de historietas, en el que participaron 1.600 estudiantes, de grados 3o a 8o, la mayor cantidad pertenecen a colegios de Kennedy (488 estudiantes), y qué 636 son de colegios públicos y 964 de privados. Por otra parte, de los 636 de colegios públicos, la mayor cantidad corresponde a Kennedy (328) y de los privados a Suba (249). Esta iniciativa se da en el marco del convenio entre Transmilenio y la Secretaría de Educación, pero tuvo también el apoyo de la Secretaría de Cultura, Recreación y Deporte. Fueron tres los temas, orientados a: </w:t>
      </w:r>
    </w:p>
    <w:p w:rsidR="00AD7EEA" w:rsidRDefault="00322AC2">
      <w:pPr>
        <w:jc w:val="both"/>
        <w:rPr>
          <w:i/>
        </w:rPr>
      </w:pPr>
      <w:r>
        <w:rPr>
          <w:i/>
        </w:rPr>
        <w:t>1. Ayudar a que la población se cuide y prevenga el contagio del COVID-19 en TM,</w:t>
      </w:r>
    </w:p>
    <w:p w:rsidR="00AD7EEA" w:rsidRDefault="00322AC2">
      <w:pPr>
        <w:jc w:val="both"/>
        <w:rPr>
          <w:i/>
        </w:rPr>
      </w:pPr>
      <w:r>
        <w:rPr>
          <w:i/>
        </w:rPr>
        <w:t>2. Promover el respeto por las reglas y que nadie se cuele en el sistema; 3. Cómo hacer de Transmilenio un espacio seguro para las niñas y las mujeres.</w:t>
      </w:r>
    </w:p>
    <w:p w:rsidR="00AD7EEA" w:rsidRDefault="00322AC2">
      <w:pPr>
        <w:jc w:val="both"/>
        <w:rPr>
          <w:i/>
        </w:rPr>
      </w:pPr>
      <w:r>
        <w:rPr>
          <w:i/>
        </w:rPr>
        <w:t>Talleres de imaginarios con el IDU: propuesta para que los estudiantes hicieran sus propuestas a partir de metodologías participativas de talleres. La convocatoria fue acogida por colegios privados y distritales, con el siguiente resultado de inscritos: 13 de primaria, 29 de bachillerato. Los resultados fueron ideas expresadas mediante la participación en talleres hacia cómo imaginan el Corredor Verde, promoviendo la movilidad segura y sostenible, y la prevención de siniestros viales.</w:t>
      </w:r>
    </w:p>
    <w:p w:rsidR="00AD7EEA" w:rsidRDefault="00AD7EEA">
      <w:pPr>
        <w:jc w:val="both"/>
        <w:rPr>
          <w:i/>
        </w:rPr>
      </w:pPr>
    </w:p>
    <w:p w:rsidR="00AD7EEA" w:rsidRDefault="00322AC2">
      <w:pPr>
        <w:jc w:val="both"/>
        <w:rPr>
          <w:i/>
        </w:rPr>
      </w:pPr>
      <w:r>
        <w:rPr>
          <w:b/>
        </w:rPr>
        <w:t>Año 2021:</w:t>
      </w:r>
      <w:r>
        <w:rPr>
          <w:b/>
          <w:i/>
        </w:rPr>
        <w:t xml:space="preserve"> </w:t>
      </w:r>
      <w:r>
        <w:rPr>
          <w:i/>
        </w:rPr>
        <w:t xml:space="preserve">se desarrolló el concurso de historietas “Una historia para sanar a Bogotá”, en el marco del convenio suscrito con Transmilenio: participaron 719 estudiantes de grados 9o, 10o y 11o, que considera el Sistema Integrado de Transporte Público como la posibilidad de explorar, reconocer y reflexionar la ciudad, sus espacios, desplazamiento seguros en el sistema, su gente, su cultura, como el escenario en el que se desarrolla cada individuo, y con el que también tenemos un compromiso colectivo. Finalmente, en el Aula Virtual de Promoción de Bienestar Estudiantil, se reforzaron los temas de seguridad vial, atendiendo que dentro de las principales actividades y estrategias pedagógicas a implementar desde el componente pedagógico de la Dirección de Bienestar Estudiantil con comunidades educativas, se centran en temas de cuidado y autocuidado, desde la </w:t>
      </w:r>
      <w:r>
        <w:rPr>
          <w:i/>
        </w:rPr>
        <w:lastRenderedPageBreak/>
        <w:t xml:space="preserve">prevención de enfermedades transmisibles, uso de protocolos y medidas de bioseguridad y fomento de estilos de vida saludable en actividad física, alimentación saludable, movilidad segura y prevención de accidentalidad, bajo el principio de corresponsabilidad. </w:t>
      </w:r>
      <w:r w:rsidR="003A39B9">
        <w:rPr>
          <w:i/>
        </w:rPr>
        <w:t>Por</w:t>
      </w:r>
      <w:r>
        <w:rPr>
          <w:i/>
        </w:rPr>
        <w:t xml:space="preserve"> medio de las siguientes interacciones:</w:t>
      </w:r>
    </w:p>
    <w:p w:rsidR="00AD7EEA" w:rsidRDefault="00AD7EEA">
      <w:pPr>
        <w:jc w:val="both"/>
        <w:rPr>
          <w:b/>
        </w:rPr>
      </w:pPr>
    </w:p>
    <w:p w:rsidR="00AD7EEA" w:rsidRDefault="00322AC2" w:rsidP="00042913">
      <w:pPr>
        <w:jc w:val="center"/>
        <w:rPr>
          <w:b/>
        </w:rPr>
      </w:pPr>
      <w:r>
        <w:rPr>
          <w:b/>
        </w:rPr>
        <w:t>Tabla 7</w:t>
      </w:r>
    </w:p>
    <w:p w:rsidR="00AD7EEA" w:rsidRDefault="00322AC2" w:rsidP="00042913">
      <w:pPr>
        <w:jc w:val="center"/>
      </w:pPr>
      <w:r>
        <w:t>Acciones realizadas por la Secretaría Distrital de Educación, durante la vigencia 2022 en cumplimiento al Acuerdo 650 del 2016.</w:t>
      </w:r>
    </w:p>
    <w:p w:rsidR="00042913" w:rsidRDefault="00042913" w:rsidP="00042913">
      <w:pPr>
        <w:jc w:val="center"/>
      </w:pPr>
    </w:p>
    <w:p w:rsidR="00AD7EEA" w:rsidRDefault="00322AC2">
      <w:pPr>
        <w:jc w:val="both"/>
        <w:rPr>
          <w:i/>
        </w:rPr>
      </w:pPr>
      <w:r>
        <w:rPr>
          <w:i/>
          <w:noProof/>
          <w:lang w:val="es-419" w:eastAsia="es-419"/>
        </w:rPr>
        <w:drawing>
          <wp:inline distT="0" distB="0" distL="0" distR="0">
            <wp:extent cx="5612130" cy="1660525"/>
            <wp:effectExtent l="0" t="0" r="0" b="0"/>
            <wp:docPr id="2110514435"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23"/>
                    <a:srcRect/>
                    <a:stretch>
                      <a:fillRect/>
                    </a:stretch>
                  </pic:blipFill>
                  <pic:spPr>
                    <a:xfrm>
                      <a:off x="0" y="0"/>
                      <a:ext cx="5612130" cy="1660525"/>
                    </a:xfrm>
                    <a:prstGeom prst="rect">
                      <a:avLst/>
                    </a:prstGeom>
                    <a:ln/>
                  </pic:spPr>
                </pic:pic>
              </a:graphicData>
            </a:graphic>
          </wp:inline>
        </w:drawing>
      </w:r>
    </w:p>
    <w:p w:rsidR="00AD7EEA" w:rsidRPr="003A39B9" w:rsidRDefault="00322AC2">
      <w:pPr>
        <w:jc w:val="both"/>
        <w:rPr>
          <w:sz w:val="18"/>
          <w:szCs w:val="18"/>
        </w:rPr>
      </w:pPr>
      <w:r w:rsidRPr="003A39B9">
        <w:rPr>
          <w:sz w:val="18"/>
          <w:szCs w:val="18"/>
        </w:rPr>
        <w:t>Nota. Acciones realizadas por la Secretaría Distrital de Educación, durante la vigencia 2022 en cumplimiento al Acuerdo 650 del 2016, obtenidos a través de la Secretaría Distrital de Educación.</w:t>
      </w:r>
    </w:p>
    <w:p w:rsidR="00AD7EEA" w:rsidRDefault="00AD7EEA">
      <w:pPr>
        <w:jc w:val="both"/>
      </w:pPr>
    </w:p>
    <w:p w:rsidR="00AD7EEA" w:rsidRDefault="00322AC2">
      <w:pPr>
        <w:jc w:val="both"/>
        <w:rPr>
          <w:i/>
        </w:rPr>
      </w:pPr>
      <w:r>
        <w:rPr>
          <w:b/>
        </w:rPr>
        <w:t xml:space="preserve">Año 2022: </w:t>
      </w:r>
      <w:r>
        <w:rPr>
          <w:i/>
        </w:rPr>
        <w:t>En el marco del convenio suscrito con Transmilenio, desde la estrategia "Transmi al Cole" con el objetivo de aportar en los comportamientos ciudadanos adecuados y seguros en los medios de transporte público en particular el Sistema Transmilenio, 153 colegios con 613 actividades lúdico-pedagógicas, aplicadas en 63.412 estudiantes, de los cuales 23.091 fueron de género femenino.</w:t>
      </w:r>
    </w:p>
    <w:p w:rsidR="00AD7EEA" w:rsidRDefault="00AD7EEA">
      <w:pPr>
        <w:jc w:val="both"/>
        <w:rPr>
          <w:i/>
        </w:rPr>
      </w:pPr>
    </w:p>
    <w:p w:rsidR="00AD7EEA" w:rsidRDefault="00322AC2">
      <w:pPr>
        <w:jc w:val="both"/>
        <w:rPr>
          <w:i/>
        </w:rPr>
      </w:pPr>
      <w:r>
        <w:rPr>
          <w:i/>
        </w:rPr>
        <w:t>A través de secuencias didácticas y su implementación pedagógica en las líneas pedagógicas de alimentación, actividad física, prevención de accidentes escolares, movilidad segura, con incidencia en el bienestar socioemocional, En total 126 colegios implementaron secuencias didácticas con 13.299 estudiantes beneficiados.</w:t>
      </w:r>
    </w:p>
    <w:p w:rsidR="003A39B9" w:rsidRDefault="003A39B9">
      <w:pPr>
        <w:jc w:val="both"/>
        <w:rPr>
          <w:i/>
        </w:rPr>
      </w:pPr>
    </w:p>
    <w:p w:rsidR="00AD7EEA" w:rsidRDefault="00322AC2">
      <w:pPr>
        <w:jc w:val="both"/>
        <w:rPr>
          <w:i/>
        </w:rPr>
      </w:pPr>
      <w:r>
        <w:rPr>
          <w:i/>
        </w:rPr>
        <w:t>El mayor logro es el fortalecimiento de los vínculos familiares a partir de las acciones con sus hijos, la toma de consciencia acerca del autocuidado y cómo estas propuestas complementan el aprendizaje. De igual forma, que la lúdica y dinámicas como están propuestas las guías facilitaron el trabajo familiar.</w:t>
      </w:r>
    </w:p>
    <w:p w:rsidR="00AD7EEA" w:rsidRDefault="00AD7EEA">
      <w:pPr>
        <w:jc w:val="both"/>
        <w:rPr>
          <w:i/>
        </w:rPr>
      </w:pPr>
    </w:p>
    <w:p w:rsidR="00AD7EEA" w:rsidRDefault="00322AC2">
      <w:pPr>
        <w:jc w:val="both"/>
        <w:rPr>
          <w:i/>
        </w:rPr>
      </w:pPr>
      <w:r>
        <w:rPr>
          <w:i/>
        </w:rPr>
        <w:lastRenderedPageBreak/>
        <w:t>En el aula virtual se reportó con relación a dinámicas y usos de contenidos, información y recursos educativos que se requieren para la implementación en las IED. 489 usuarios activos con 63.642 interacciones o acciones de interacción con los contenidos pedagógicos.</w:t>
      </w:r>
    </w:p>
    <w:p w:rsidR="00AD7EEA" w:rsidRDefault="00AD7EEA">
      <w:pPr>
        <w:jc w:val="both"/>
        <w:rPr>
          <w:i/>
        </w:rPr>
      </w:pPr>
    </w:p>
    <w:p w:rsidR="00AD7EEA" w:rsidRDefault="00322AC2">
      <w:pPr>
        <w:jc w:val="both"/>
      </w:pPr>
      <w:r>
        <w:t>Ahora bien, respecto a las acciones formativas en Seguridad Vial en las Instituciones Educativas, se evidencia que por parte de la SDM</w:t>
      </w:r>
      <w:r>
        <w:rPr>
          <w:vertAlign w:val="superscript"/>
        </w:rPr>
        <w:footnoteReference w:id="9"/>
      </w:r>
      <w:r>
        <w:t>:</w:t>
      </w:r>
    </w:p>
    <w:p w:rsidR="00AD7EEA" w:rsidRDefault="00AD7EEA">
      <w:pPr>
        <w:jc w:val="both"/>
        <w:rPr>
          <w:b/>
        </w:rPr>
      </w:pPr>
    </w:p>
    <w:p w:rsidR="00AD7EEA" w:rsidRDefault="00AD7EEA">
      <w:pPr>
        <w:jc w:val="both"/>
        <w:rPr>
          <w:b/>
        </w:rPr>
      </w:pPr>
    </w:p>
    <w:p w:rsidR="00AD7EEA" w:rsidRDefault="00322AC2" w:rsidP="00042913">
      <w:pPr>
        <w:jc w:val="center"/>
        <w:rPr>
          <w:b/>
        </w:rPr>
      </w:pPr>
      <w:r>
        <w:rPr>
          <w:b/>
        </w:rPr>
        <w:t>Tabla 8</w:t>
      </w:r>
    </w:p>
    <w:p w:rsidR="003A39B9" w:rsidRDefault="003A39B9" w:rsidP="00042913">
      <w:pPr>
        <w:jc w:val="center"/>
        <w:rPr>
          <w:b/>
        </w:rPr>
      </w:pPr>
    </w:p>
    <w:p w:rsidR="00AD7EEA" w:rsidRDefault="00322AC2" w:rsidP="00042913">
      <w:pPr>
        <w:jc w:val="center"/>
      </w:pPr>
      <w:r>
        <w:t>Acciones de Capacitación 2020-2022 Capacitaciones en seguridad vial a Docentes vigencia 2020-2022 SDM</w:t>
      </w:r>
    </w:p>
    <w:p w:rsidR="00AD7EEA" w:rsidRDefault="00AD7EEA">
      <w:pPr>
        <w:jc w:val="both"/>
      </w:pPr>
    </w:p>
    <w:p w:rsidR="00AD7EEA" w:rsidRDefault="00322AC2">
      <w:pPr>
        <w:jc w:val="both"/>
      </w:pPr>
      <w:r>
        <w:rPr>
          <w:noProof/>
          <w:lang w:val="es-419" w:eastAsia="es-419"/>
        </w:rPr>
        <w:drawing>
          <wp:anchor distT="0" distB="0" distL="114300" distR="114300" simplePos="0" relativeHeight="251659264" behindDoc="0" locked="0" layoutInCell="1" hidden="0" allowOverlap="1">
            <wp:simplePos x="0" y="0"/>
            <wp:positionH relativeFrom="column">
              <wp:posOffset>288290</wp:posOffset>
            </wp:positionH>
            <wp:positionV relativeFrom="paragraph">
              <wp:posOffset>7620</wp:posOffset>
            </wp:positionV>
            <wp:extent cx="4898390" cy="1711960"/>
            <wp:effectExtent l="0" t="0" r="0" b="2540"/>
            <wp:wrapSquare wrapText="bothSides" distT="0" distB="0" distL="114300" distR="114300"/>
            <wp:docPr id="2110514424"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24"/>
                    <a:srcRect/>
                    <a:stretch>
                      <a:fillRect/>
                    </a:stretch>
                  </pic:blipFill>
                  <pic:spPr>
                    <a:xfrm>
                      <a:off x="0" y="0"/>
                      <a:ext cx="4898390" cy="1711960"/>
                    </a:xfrm>
                    <a:prstGeom prst="rect">
                      <a:avLst/>
                    </a:prstGeom>
                    <a:ln/>
                  </pic:spPr>
                </pic:pic>
              </a:graphicData>
            </a:graphic>
            <wp14:sizeRelH relativeFrom="margin">
              <wp14:pctWidth>0</wp14:pctWidth>
            </wp14:sizeRelH>
            <wp14:sizeRelV relativeFrom="margin">
              <wp14:pctHeight>0</wp14:pctHeight>
            </wp14:sizeRelV>
          </wp:anchor>
        </w:drawing>
      </w:r>
    </w:p>
    <w:p w:rsidR="00AD7EEA" w:rsidRDefault="00AD7EEA">
      <w:pPr>
        <w:jc w:val="both"/>
      </w:pPr>
    </w:p>
    <w:p w:rsidR="003A39B9" w:rsidRDefault="003A39B9" w:rsidP="003A39B9">
      <w:pPr>
        <w:rPr>
          <w:sz w:val="18"/>
          <w:szCs w:val="18"/>
        </w:rPr>
      </w:pPr>
    </w:p>
    <w:p w:rsidR="003A39B9" w:rsidRDefault="003A39B9" w:rsidP="003A39B9">
      <w:pPr>
        <w:rPr>
          <w:sz w:val="18"/>
          <w:szCs w:val="18"/>
        </w:rPr>
      </w:pPr>
    </w:p>
    <w:p w:rsidR="003A39B9" w:rsidRDefault="003A39B9" w:rsidP="003A39B9">
      <w:pPr>
        <w:rPr>
          <w:sz w:val="18"/>
          <w:szCs w:val="18"/>
        </w:rPr>
      </w:pPr>
    </w:p>
    <w:p w:rsidR="003A39B9" w:rsidRDefault="003A39B9" w:rsidP="003A39B9">
      <w:pPr>
        <w:rPr>
          <w:sz w:val="18"/>
          <w:szCs w:val="18"/>
        </w:rPr>
      </w:pPr>
    </w:p>
    <w:p w:rsidR="003A39B9" w:rsidRDefault="003A39B9" w:rsidP="003A39B9">
      <w:pPr>
        <w:rPr>
          <w:sz w:val="18"/>
          <w:szCs w:val="18"/>
        </w:rPr>
      </w:pPr>
    </w:p>
    <w:p w:rsidR="003A39B9" w:rsidRDefault="003A39B9" w:rsidP="003A39B9">
      <w:pPr>
        <w:rPr>
          <w:sz w:val="18"/>
          <w:szCs w:val="18"/>
        </w:rPr>
      </w:pPr>
    </w:p>
    <w:p w:rsidR="003A39B9" w:rsidRDefault="003A39B9" w:rsidP="003A39B9">
      <w:pPr>
        <w:rPr>
          <w:sz w:val="18"/>
          <w:szCs w:val="18"/>
        </w:rPr>
      </w:pPr>
    </w:p>
    <w:p w:rsidR="003A39B9" w:rsidRDefault="003A39B9" w:rsidP="003A39B9">
      <w:pPr>
        <w:rPr>
          <w:sz w:val="18"/>
          <w:szCs w:val="18"/>
        </w:rPr>
      </w:pPr>
    </w:p>
    <w:p w:rsidR="003A39B9" w:rsidRDefault="003A39B9" w:rsidP="003A39B9">
      <w:pPr>
        <w:rPr>
          <w:sz w:val="18"/>
          <w:szCs w:val="18"/>
        </w:rPr>
      </w:pPr>
    </w:p>
    <w:p w:rsidR="003A39B9" w:rsidRDefault="003A39B9" w:rsidP="003A39B9">
      <w:pPr>
        <w:rPr>
          <w:sz w:val="18"/>
          <w:szCs w:val="18"/>
        </w:rPr>
      </w:pPr>
    </w:p>
    <w:p w:rsidR="003A39B9" w:rsidRDefault="003A39B9" w:rsidP="003A39B9">
      <w:pPr>
        <w:rPr>
          <w:sz w:val="18"/>
          <w:szCs w:val="18"/>
        </w:rPr>
      </w:pPr>
    </w:p>
    <w:p w:rsidR="00AD7EEA" w:rsidRPr="003A39B9" w:rsidRDefault="00322AC2" w:rsidP="003A39B9">
      <w:pPr>
        <w:rPr>
          <w:sz w:val="18"/>
          <w:szCs w:val="18"/>
        </w:rPr>
      </w:pPr>
      <w:r w:rsidRPr="003A39B9">
        <w:rPr>
          <w:sz w:val="18"/>
          <w:szCs w:val="18"/>
        </w:rPr>
        <w:t xml:space="preserve">Nota. Acciones de Capacitación 2020-2022 Capacitaciones en seguridad vial a Docentes vigencia </w:t>
      </w:r>
      <w:r w:rsidR="003A39B9">
        <w:rPr>
          <w:sz w:val="18"/>
          <w:szCs w:val="18"/>
        </w:rPr>
        <w:t xml:space="preserve"> </w:t>
      </w:r>
      <w:r w:rsidRPr="003A39B9">
        <w:rPr>
          <w:sz w:val="18"/>
          <w:szCs w:val="18"/>
        </w:rPr>
        <w:t>2020-2022 SDM con base en datos suministrados por la Secretaría Distrital de Movilidad.</w:t>
      </w:r>
    </w:p>
    <w:p w:rsidR="00AD7EEA" w:rsidRDefault="00AD7EEA">
      <w:pPr>
        <w:ind w:firstLine="709"/>
      </w:pPr>
    </w:p>
    <w:p w:rsidR="00AD7EEA" w:rsidRDefault="00322AC2">
      <w:pPr>
        <w:jc w:val="both"/>
      </w:pPr>
      <w:r>
        <w:t>En la tabla 8, se puede evidenciar, que, por parte de la SDM, durante la vigencia 2020-2022 se efectuó capacitación a Docentes en seguridad vial, a través de la intervención en 37 Colegios con un total de 1866 Docentes capacitados, de tal modo para dicha vigencia solo se intervino el 2% de los 1979 Colegios que existen en la Ciudad.</w:t>
      </w:r>
    </w:p>
    <w:p w:rsidR="00AD7EEA" w:rsidRDefault="00AD7EEA">
      <w:pPr>
        <w:jc w:val="both"/>
      </w:pPr>
    </w:p>
    <w:p w:rsidR="00AD7EEA" w:rsidRDefault="00322AC2" w:rsidP="00042913">
      <w:pPr>
        <w:jc w:val="center"/>
        <w:rPr>
          <w:b/>
        </w:rPr>
      </w:pPr>
      <w:r>
        <w:rPr>
          <w:b/>
        </w:rPr>
        <w:t>Tabla 9</w:t>
      </w:r>
    </w:p>
    <w:p w:rsidR="003A39B9" w:rsidRDefault="003A39B9" w:rsidP="00042913">
      <w:pPr>
        <w:jc w:val="center"/>
        <w:rPr>
          <w:b/>
        </w:rPr>
      </w:pPr>
    </w:p>
    <w:p w:rsidR="00AD7EEA" w:rsidRDefault="00322AC2" w:rsidP="00042913">
      <w:pPr>
        <w:jc w:val="center"/>
      </w:pPr>
      <w:r>
        <w:t>Acciones de Capacitación 2020-2022 Capacitaciones en seguridad vial a Padres de Familia vigencia 2020-2022 SDM</w:t>
      </w:r>
    </w:p>
    <w:p w:rsidR="00AD7EEA" w:rsidRDefault="00AD7EEA">
      <w:pPr>
        <w:jc w:val="both"/>
      </w:pPr>
    </w:p>
    <w:p w:rsidR="00AD7EEA" w:rsidRDefault="00322AC2">
      <w:pPr>
        <w:jc w:val="both"/>
      </w:pPr>
      <w:r>
        <w:rPr>
          <w:noProof/>
          <w:lang w:val="es-419" w:eastAsia="es-419"/>
        </w:rPr>
        <w:drawing>
          <wp:inline distT="0" distB="0" distL="0" distR="0">
            <wp:extent cx="5635625" cy="1961804"/>
            <wp:effectExtent l="0" t="0" r="3175" b="635"/>
            <wp:docPr id="211051443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25"/>
                    <a:srcRect/>
                    <a:stretch>
                      <a:fillRect/>
                    </a:stretch>
                  </pic:blipFill>
                  <pic:spPr>
                    <a:xfrm>
                      <a:off x="0" y="0"/>
                      <a:ext cx="5643963" cy="1964706"/>
                    </a:xfrm>
                    <a:prstGeom prst="rect">
                      <a:avLst/>
                    </a:prstGeom>
                    <a:ln/>
                  </pic:spPr>
                </pic:pic>
              </a:graphicData>
            </a:graphic>
          </wp:inline>
        </w:drawing>
      </w:r>
    </w:p>
    <w:p w:rsidR="00AD7EEA" w:rsidRPr="003A39B9" w:rsidRDefault="00322AC2">
      <w:pPr>
        <w:jc w:val="both"/>
        <w:rPr>
          <w:sz w:val="18"/>
          <w:szCs w:val="18"/>
        </w:rPr>
      </w:pPr>
      <w:r w:rsidRPr="003A39B9">
        <w:rPr>
          <w:sz w:val="18"/>
          <w:szCs w:val="18"/>
        </w:rPr>
        <w:t>Nota. Acciones de Capacitación 2020-2022 Capacitaciones en seguridad vial a Padres de Familia vigencia 2020-2022 SDM con base en datos suministrados por la Secretaría Distrital de Movilidad.</w:t>
      </w:r>
    </w:p>
    <w:p w:rsidR="003A39B9" w:rsidRDefault="003A39B9">
      <w:pPr>
        <w:jc w:val="both"/>
      </w:pPr>
    </w:p>
    <w:p w:rsidR="00AD7EEA" w:rsidRDefault="00322AC2">
      <w:pPr>
        <w:jc w:val="both"/>
      </w:pPr>
      <w:r>
        <w:t>En la tabla 9, se puede evidenciar, que, por parte de la SDM, durante la vigencia 2020-2022 se efectuó capacitación a Padres de Familia en seguridad vial, a través la intervención en 18 Colegios con un total de 1938 Padres de Familia capacitados, de tal modo para dicha vigencia solo se intervino el 1% de los 1979 Colegios que existen en la Ciudad.</w:t>
      </w:r>
    </w:p>
    <w:p w:rsidR="00AD7EEA" w:rsidRDefault="00AD7EEA">
      <w:pPr>
        <w:jc w:val="both"/>
      </w:pPr>
    </w:p>
    <w:p w:rsidR="00AD7EEA" w:rsidRDefault="00322AC2">
      <w:pPr>
        <w:jc w:val="both"/>
      </w:pPr>
      <w:r>
        <w:t>Así mismo, por parte de la Secretaría de Educación</w:t>
      </w:r>
      <w:r>
        <w:rPr>
          <w:vertAlign w:val="superscript"/>
        </w:rPr>
        <w:footnoteReference w:id="10"/>
      </w:r>
      <w:r>
        <w:t>, indica que bajo la Dirección de Relaciones con el Sector Educativo Privado implementa el programa SEPA (Sector Educativo Privado Articulado), se realizaron 5 capacitaciones en movilidad segura y sostenible con un total de 252 asistentes, sin indicar el rol de estos. De tal modo, se evidencia el bajo accionar respecto a acciones formativas de seguridad vial.</w:t>
      </w:r>
    </w:p>
    <w:p w:rsidR="00AD7EEA" w:rsidRDefault="00AD7EEA">
      <w:pPr>
        <w:jc w:val="both"/>
        <w:rPr>
          <w:b/>
        </w:rPr>
      </w:pPr>
    </w:p>
    <w:p w:rsidR="00181544" w:rsidRDefault="00181544" w:rsidP="003A39B9">
      <w:pPr>
        <w:jc w:val="center"/>
        <w:rPr>
          <w:b/>
        </w:rPr>
      </w:pPr>
    </w:p>
    <w:p w:rsidR="00181544" w:rsidRDefault="00181544" w:rsidP="003A39B9">
      <w:pPr>
        <w:jc w:val="center"/>
        <w:rPr>
          <w:b/>
        </w:rPr>
      </w:pPr>
    </w:p>
    <w:p w:rsidR="00181544" w:rsidRDefault="00181544" w:rsidP="003A39B9">
      <w:pPr>
        <w:jc w:val="center"/>
        <w:rPr>
          <w:b/>
        </w:rPr>
      </w:pPr>
    </w:p>
    <w:p w:rsidR="00181544" w:rsidRDefault="00181544" w:rsidP="003A39B9">
      <w:pPr>
        <w:jc w:val="center"/>
        <w:rPr>
          <w:b/>
        </w:rPr>
      </w:pPr>
    </w:p>
    <w:p w:rsidR="00181544" w:rsidRDefault="00181544" w:rsidP="003A39B9">
      <w:pPr>
        <w:jc w:val="center"/>
        <w:rPr>
          <w:b/>
        </w:rPr>
      </w:pPr>
    </w:p>
    <w:p w:rsidR="00181544" w:rsidRDefault="00181544" w:rsidP="003A39B9">
      <w:pPr>
        <w:jc w:val="center"/>
        <w:rPr>
          <w:b/>
        </w:rPr>
      </w:pPr>
    </w:p>
    <w:p w:rsidR="00181544" w:rsidRDefault="00181544" w:rsidP="003A39B9">
      <w:pPr>
        <w:jc w:val="center"/>
        <w:rPr>
          <w:b/>
        </w:rPr>
      </w:pPr>
    </w:p>
    <w:p w:rsidR="00181544" w:rsidRDefault="00181544" w:rsidP="003A39B9">
      <w:pPr>
        <w:jc w:val="center"/>
        <w:rPr>
          <w:b/>
        </w:rPr>
      </w:pPr>
    </w:p>
    <w:p w:rsidR="00181544" w:rsidRDefault="00181544" w:rsidP="003A39B9">
      <w:pPr>
        <w:jc w:val="center"/>
        <w:rPr>
          <w:b/>
        </w:rPr>
      </w:pPr>
    </w:p>
    <w:p w:rsidR="00AD7EEA" w:rsidRDefault="00322AC2" w:rsidP="003A39B9">
      <w:pPr>
        <w:jc w:val="center"/>
        <w:rPr>
          <w:b/>
        </w:rPr>
      </w:pPr>
      <w:r>
        <w:rPr>
          <w:b/>
        </w:rPr>
        <w:lastRenderedPageBreak/>
        <w:t>Figura 4</w:t>
      </w:r>
    </w:p>
    <w:p w:rsidR="00AD7EEA" w:rsidRDefault="00322AC2" w:rsidP="003A39B9">
      <w:pPr>
        <w:jc w:val="center"/>
      </w:pPr>
      <w:r>
        <w:t>Planes de Movilidad Escolar-PME 2017-2023</w:t>
      </w:r>
    </w:p>
    <w:p w:rsidR="00AD7EEA" w:rsidRDefault="00AD7EEA">
      <w:pPr>
        <w:jc w:val="both"/>
      </w:pPr>
    </w:p>
    <w:p w:rsidR="00AD7EEA" w:rsidRDefault="00322AC2">
      <w:pPr>
        <w:jc w:val="both"/>
      </w:pPr>
      <w:r>
        <w:rPr>
          <w:noProof/>
          <w:lang w:val="es-419" w:eastAsia="es-419"/>
        </w:rPr>
        <w:drawing>
          <wp:inline distT="0" distB="0" distL="0" distR="0">
            <wp:extent cx="5663738" cy="2793816"/>
            <wp:effectExtent l="0" t="0" r="0" b="6985"/>
            <wp:docPr id="2110514436"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6"/>
                    <a:srcRect/>
                    <a:stretch>
                      <a:fillRect/>
                    </a:stretch>
                  </pic:blipFill>
                  <pic:spPr>
                    <a:xfrm>
                      <a:off x="0" y="0"/>
                      <a:ext cx="5673533" cy="2798648"/>
                    </a:xfrm>
                    <a:prstGeom prst="rect">
                      <a:avLst/>
                    </a:prstGeom>
                    <a:ln/>
                  </pic:spPr>
                </pic:pic>
              </a:graphicData>
            </a:graphic>
          </wp:inline>
        </w:drawing>
      </w:r>
    </w:p>
    <w:p w:rsidR="00AD7EEA" w:rsidRDefault="00AD7EEA">
      <w:pPr>
        <w:jc w:val="both"/>
      </w:pPr>
    </w:p>
    <w:p w:rsidR="00AD7EEA" w:rsidRDefault="00322AC2">
      <w:pPr>
        <w:jc w:val="both"/>
      </w:pPr>
      <w:r w:rsidRPr="003A39B9">
        <w:rPr>
          <w:sz w:val="18"/>
          <w:szCs w:val="18"/>
        </w:rPr>
        <w:t>Nota: Planes de Movilidad Escolar-PME 2017-2023 con base en información suministrada por la Secretaría de Educación</w:t>
      </w:r>
      <w:r>
        <w:rPr>
          <w:vertAlign w:val="superscript"/>
        </w:rPr>
        <w:footnoteReference w:id="11"/>
      </w:r>
    </w:p>
    <w:p w:rsidR="00AD7EEA" w:rsidRDefault="00AD7EEA">
      <w:pPr>
        <w:jc w:val="both"/>
      </w:pPr>
    </w:p>
    <w:p w:rsidR="00AD7EEA" w:rsidRDefault="00322AC2">
      <w:pPr>
        <w:jc w:val="both"/>
      </w:pPr>
      <w:r>
        <w:t>Por otra parte, tal como se evidencia en la figura 4, se observa que, con corte a marzo del 2023, en Bogotá hay un total de 1979 Colegios y con corte a mayo del 2023 hay un total de 150 PME aprobados. De tal modo es preocupante dicha cifra considerando que corresponde al 8% de los Colegios existentes y la meta al 2026 según el Decreto 813 de 2017 es contar con el 100% de los Colegios aprobados con el PME y una visita de seguimiento. Y de acuerdo con el parágrafo del artículo 4, Acuerdo 650 del 2016, se indica:” se fortalecerá el cumplimiento del Decreto 594 de 2015 y demás normas vigentes, con lo que se garantiza la participación de cada uno de los estamentos de la comunidad educativa; docentes, familias y estudiantes”</w:t>
      </w:r>
    </w:p>
    <w:p w:rsidR="00AD7EEA" w:rsidRDefault="00322AC2">
      <w:pPr>
        <w:jc w:val="both"/>
      </w:pPr>
      <w:r>
        <w:t xml:space="preserve">De tal modo, considerando lo anterior, se observa un alto accionar, no obstante, no se refleja una reducción en el número de lesionados y víctimas fatales a causa de siniestros viales, es así, al evidenciar que el factor humano es quien más interviene en la generación de los siniestros viales, se debe fortalecer la educación vial y por ende se hace necesario garantizar iniciar la inclusión de prácticas de seguridad vial </w:t>
      </w:r>
      <w:r>
        <w:lastRenderedPageBreak/>
        <w:t>en los Jardines del Distrito y Escuelas de padres y madres de familia y cuidadores, esto a través del Programa Innovadores en Seguridad Vial, así como garantizar la adopción y cumplimiento del PME, considerando que es una herramienta clave para la adopción y práctica de la seguridad vial a través de comportamientos asertivos en la vía, bajo el marco de la corresponsabilidad.</w:t>
      </w:r>
    </w:p>
    <w:p w:rsidR="00AD7EEA" w:rsidRDefault="00AD7EEA">
      <w:pPr>
        <w:jc w:val="both"/>
      </w:pPr>
    </w:p>
    <w:p w:rsidR="00AD7EEA" w:rsidRDefault="00322AC2">
      <w:pPr>
        <w:jc w:val="both"/>
        <w:rPr>
          <w:i/>
        </w:rPr>
      </w:pPr>
      <w:r>
        <w:t>Lo anterior, considerando que, tal como lo establece el Decreto 164 del 2007, “</w:t>
      </w:r>
      <w:r>
        <w:rPr>
          <w:i/>
        </w:rPr>
        <w:t>La formación en Seguridad Vial Escolar como Proyecto Pedagógico Transversal, se implementará en las instituciones educativas públicas y privadas, de educación formal y no formal del Distrito Capital y que ofrezcan cualquier nivel o modalidad del sistema educativo con el fin de contribuir a la formación de una amplia y sólida cultura del respeto por la vida, por la sana movilidad, el cuidado y protección de los niños y niñas”</w:t>
      </w:r>
    </w:p>
    <w:p w:rsidR="00AD7EEA" w:rsidRDefault="00AD7EEA">
      <w:pPr>
        <w:jc w:val="both"/>
        <w:rPr>
          <w:i/>
        </w:rPr>
      </w:pPr>
    </w:p>
    <w:p w:rsidR="00AD7EEA" w:rsidRDefault="00322AC2">
      <w:pPr>
        <w:jc w:val="both"/>
        <w:rPr>
          <w:i/>
        </w:rPr>
      </w:pPr>
      <w:r>
        <w:t>A su vez, el propósito del Programa Innovadores en Seguridad Vial</w:t>
      </w:r>
      <w:r>
        <w:rPr>
          <w:i/>
        </w:rPr>
        <w:t xml:space="preserve"> es: “generar espacios pedagógicos para desarrollar conocimientos, habilidades y destrezas, utilizando y creando herramientas tecnológicas en seguridad vial sobre normas de comportamiento en el tránsito y transporte, y de convivencia, que permitan a la comunidad educativa una movilidad libre y segura ejerciendo liderazgo sobre la conducción de automóviles, motocicletas y medios alternativos de transporte en la ciudad”.</w:t>
      </w:r>
    </w:p>
    <w:p w:rsidR="00AD7EEA" w:rsidRDefault="00AD7EEA">
      <w:pPr>
        <w:jc w:val="both"/>
        <w:rPr>
          <w:i/>
        </w:rPr>
      </w:pPr>
    </w:p>
    <w:p w:rsidR="00AD7EEA" w:rsidRDefault="00322AC2">
      <w:pPr>
        <w:jc w:val="both"/>
        <w:rPr>
          <w:i/>
        </w:rPr>
      </w:pPr>
      <w:r>
        <w:t>Ahora bien, el rol de la enseñanza en seguridad vial es vital, en los niños y niñas de los Jardines del Distrito, toda vez, que como lo refiere el Ministerio de Educación: “</w:t>
      </w:r>
      <w:r>
        <w:rPr>
          <w:i/>
        </w:rPr>
        <w:t>está demostrado que el mayor desarrollo del cerebro ocurre durante los cinco primeros años”.</w:t>
      </w:r>
    </w:p>
    <w:p w:rsidR="00042913" w:rsidRDefault="00042913">
      <w:pPr>
        <w:jc w:val="both"/>
        <w:rPr>
          <w:i/>
        </w:rPr>
      </w:pPr>
    </w:p>
    <w:p w:rsidR="00AD7EEA" w:rsidRDefault="00322AC2">
      <w:pPr>
        <w:jc w:val="both"/>
        <w:rPr>
          <w:i/>
        </w:rPr>
      </w:pPr>
      <w:r>
        <w:t>Es así</w:t>
      </w:r>
      <w:r>
        <w:rPr>
          <w:i/>
        </w:rPr>
        <w:t>, que la educación inicial es un proceso permanente y continúo de interacciones y relaciones sociales de calidad, pertinentes y oportunas, que posibilitan a los niños potenciar sus capacidades y adquirir competencias en función de un desarrollo pleno como seres humanos y sujetos de derechos (MEN).</w:t>
      </w:r>
    </w:p>
    <w:p w:rsidR="00AD7EEA" w:rsidRDefault="00AD7EEA">
      <w:pPr>
        <w:jc w:val="both"/>
        <w:rPr>
          <w:i/>
        </w:rPr>
      </w:pPr>
    </w:p>
    <w:p w:rsidR="00AD7EEA" w:rsidRDefault="00322AC2">
      <w:pPr>
        <w:jc w:val="both"/>
        <w:rPr>
          <w:i/>
        </w:rPr>
      </w:pPr>
      <w:r>
        <w:t>De tal modo, “</w:t>
      </w:r>
      <w:r>
        <w:rPr>
          <w:i/>
        </w:rPr>
        <w:t xml:space="preserve">las extraordinarias capacidades de los niños y las niñas durante sus primeros cinco años de vida, es una riqueza de posibilidades que tienen los niños para descubrir y conquistar el mundo. Éstas suponen una nueva concepción del desarrollo, como un proceso de transformaciones y reorganizaciones permanentes que convierten a los niños en sujetos ejecutores, individuos activos en la construcción de su conocimiento, competentes para trenzar complejos entramados </w:t>
      </w:r>
      <w:r>
        <w:rPr>
          <w:i/>
        </w:rPr>
        <w:lastRenderedPageBreak/>
        <w:t>de relaciones afectivas y sociales, para expresar y comprender ideas, sentimientos y valores propios y de los otros</w:t>
      </w:r>
      <w:r>
        <w:rPr>
          <w:i/>
          <w:vertAlign w:val="superscript"/>
        </w:rPr>
        <w:footnoteReference w:id="12"/>
      </w:r>
    </w:p>
    <w:p w:rsidR="00AD7EEA" w:rsidRDefault="00AD7EEA">
      <w:pPr>
        <w:jc w:val="both"/>
        <w:rPr>
          <w:i/>
        </w:rPr>
      </w:pPr>
    </w:p>
    <w:p w:rsidR="00AD7EEA" w:rsidRDefault="00181544">
      <w:pPr>
        <w:jc w:val="both"/>
      </w:pPr>
      <w:r>
        <w:t>Asimismo,</w:t>
      </w:r>
      <w:r w:rsidR="00322AC2">
        <w:t xml:space="preserve"> como lo refiere la UNICEF, </w:t>
      </w:r>
      <w:r w:rsidR="00322AC2">
        <w:rPr>
          <w:i/>
        </w:rPr>
        <w:t>en su informe “La primera infancia importa para cada niño”, las investigaciones científicas realizadas en los últimos 30 años nos han enseñado que el período más importante del desarrollo humano es el que comprende desde el nacimiento hasta los ocho años de edad, durante esos años, el desarrollo de las competencias cognitivas, el bienestar emocional, la competencia social y una buena salud física y mental forma una sólida base para el éxito incluso bien entrada la edad adulta. Aunque el aprendizaje tiene lugar durante toda la vida, en la primera infancia se produce con una rapidez que luego nunca se igualará</w:t>
      </w:r>
      <w:r w:rsidR="00322AC2">
        <w:rPr>
          <w:i/>
          <w:vertAlign w:val="superscript"/>
        </w:rPr>
        <w:footnoteReference w:id="13"/>
      </w:r>
      <w:r w:rsidR="00322AC2">
        <w:rPr>
          <w:i/>
        </w:rPr>
        <w:t>.</w:t>
      </w:r>
    </w:p>
    <w:p w:rsidR="00AD7EEA" w:rsidRDefault="00322AC2">
      <w:pPr>
        <w:jc w:val="both"/>
        <w:rPr>
          <w:i/>
        </w:rPr>
      </w:pPr>
      <w:r>
        <w:t xml:space="preserve">Así mismo refiere, </w:t>
      </w:r>
      <w:r>
        <w:rPr>
          <w:i/>
        </w:rPr>
        <w:t>que, el cerebro de un niño no nace tal y como es, sino que se va desarrollando, sobre todo en los primeros años de vida. Este proceso comienza antes del nacimiento e implica una compleja interacción de las conexiones neuronales que van formándose a partir de la experiencia y el entorno. Estas conexiones se producen a gran velocidad en los primeros años de vida y no vuelven a repetirse de tal manera</w:t>
      </w:r>
      <w:r>
        <w:rPr>
          <w:vertAlign w:val="superscript"/>
        </w:rPr>
        <w:footnoteReference w:id="14"/>
      </w:r>
    </w:p>
    <w:p w:rsidR="00AD7EEA" w:rsidRDefault="00AD7EEA">
      <w:pPr>
        <w:jc w:val="both"/>
        <w:rPr>
          <w:i/>
        </w:rPr>
      </w:pPr>
    </w:p>
    <w:p w:rsidR="00AD7EEA" w:rsidRDefault="00322AC2">
      <w:pPr>
        <w:jc w:val="both"/>
      </w:pPr>
      <w:r>
        <w:rPr>
          <w:i/>
        </w:rPr>
        <w:t>De igual modo, el desarrollo cerebral es una parte esencial del desarrollo en la primera infancia. Es el proceso mediante el cual el niño adquiere sus habilidades físicas, motrices, cognitivas, sociales, emocionales y lingüísticas básicas. Estas habilidades le permiten pensar, resolver problemas, comunicarse, expresar emociones y tejer relaciones. Sientan las bases de la vida adulta y preparan el camino para gozar de la salud, el aprendizaje y el bienestar</w:t>
      </w:r>
      <w:r>
        <w:rPr>
          <w:i/>
          <w:vertAlign w:val="superscript"/>
        </w:rPr>
        <w:footnoteReference w:id="15"/>
      </w:r>
      <w:r>
        <w:rPr>
          <w:i/>
        </w:rPr>
        <w:t>.</w:t>
      </w:r>
    </w:p>
    <w:p w:rsidR="00AD7EEA" w:rsidRDefault="00322AC2">
      <w:pPr>
        <w:jc w:val="both"/>
        <w:rPr>
          <w:i/>
        </w:rPr>
      </w:pPr>
      <w:r>
        <w:t xml:space="preserve">En el mismo sentido, de acuerdo con la </w:t>
      </w:r>
      <w:r>
        <w:rPr>
          <w:i/>
        </w:rPr>
        <w:t>Dra. Jessica Alvarado de la Universidad Nacional de Estados Unidos de América, el objetivo de esta etapa es el desarrollo integral de las necesidades sociales, emocionales, cognitivas y físicas de un niño con el fin de construir una base sólida y amplia para el aprendizaje y el bienestar a lo largo de toda la vida</w:t>
      </w:r>
      <w:r>
        <w:rPr>
          <w:i/>
          <w:vertAlign w:val="superscript"/>
        </w:rPr>
        <w:footnoteReference w:id="16"/>
      </w:r>
      <w:r>
        <w:rPr>
          <w:i/>
        </w:rPr>
        <w:t>.</w:t>
      </w:r>
    </w:p>
    <w:p w:rsidR="00AD7EEA" w:rsidRDefault="00AD7EEA">
      <w:pPr>
        <w:jc w:val="both"/>
        <w:rPr>
          <w:i/>
        </w:rPr>
      </w:pPr>
    </w:p>
    <w:p w:rsidR="00AD7EEA" w:rsidRDefault="00322AC2">
      <w:pPr>
        <w:jc w:val="both"/>
      </w:pPr>
      <w:r>
        <w:t xml:space="preserve">En consecuencia es vital, ampliar el Programa Innovadores en Seguridad Vial a jardines del Distrito, toda vez, que, el cerebro tiene la capacidad de aprender a lo </w:t>
      </w:r>
      <w:r>
        <w:lastRenderedPageBreak/>
        <w:t>largo de la vida, pero, es evidente que, ningún otro periodo es más propicio como lo son los primeros años de vida, en los cuales el niño aprende y adquiere muchos de los hábitos que tendrá durante toda su vida.</w:t>
      </w:r>
    </w:p>
    <w:p w:rsidR="00AD7EEA" w:rsidRDefault="00AD7EEA">
      <w:pPr>
        <w:jc w:val="both"/>
      </w:pPr>
    </w:p>
    <w:p w:rsidR="00AD7EEA" w:rsidRDefault="00181544">
      <w:pPr>
        <w:jc w:val="both"/>
        <w:rPr>
          <w:i/>
        </w:rPr>
      </w:pPr>
      <w:r>
        <w:t>Igualmente</w:t>
      </w:r>
      <w:r w:rsidR="00322AC2">
        <w:t>, contemplando lo evidenciado en el Código de Infancia y Adolescencia y en la Política Educativa en el marco de una atención integral en la primera infancia, donde se refiere “</w:t>
      </w:r>
      <w:r w:rsidR="00322AC2">
        <w:rPr>
          <w:i/>
        </w:rPr>
        <w:t>el derecho a la atención integral de los niños menores de 5 años y busca garantizarles un desarrollo en el marco de sus derechos y sembrar las bases para que todos puedan ser cada vez más competentes, felices y gozar una mejor calidad de vida”.</w:t>
      </w:r>
    </w:p>
    <w:p w:rsidR="00AD7EEA" w:rsidRDefault="00AD7EEA">
      <w:pPr>
        <w:jc w:val="both"/>
        <w:rPr>
          <w:i/>
        </w:rPr>
      </w:pPr>
    </w:p>
    <w:p w:rsidR="00AD7EEA" w:rsidRDefault="00322AC2">
      <w:pPr>
        <w:jc w:val="both"/>
      </w:pPr>
      <w:r>
        <w:t xml:space="preserve">Ahora bien, es importante incorporar la parte lúdica y cultural en el Programa Innovadores en Seguridad Vial, toda vez, que, </w:t>
      </w:r>
      <w:r>
        <w:rPr>
          <w:i/>
        </w:rPr>
        <w:t>aprender jugando es la mejor manera de desarrollar el aprendizaje temprano en los niños, ya que de esta manera potencializan sus características natas como lo son la curiosidad, la observación, adaptabilidad e identificación</w:t>
      </w:r>
      <w:r>
        <w:rPr>
          <w:i/>
          <w:vertAlign w:val="superscript"/>
        </w:rPr>
        <w:footnoteReference w:id="17"/>
      </w:r>
      <w:r>
        <w:t>.</w:t>
      </w:r>
    </w:p>
    <w:p w:rsidR="00AD7EEA" w:rsidRDefault="00AD7EEA">
      <w:pPr>
        <w:jc w:val="both"/>
      </w:pPr>
    </w:p>
    <w:p w:rsidR="00AD7EEA" w:rsidRDefault="003A39B9">
      <w:pPr>
        <w:jc w:val="both"/>
        <w:rPr>
          <w:i/>
        </w:rPr>
      </w:pPr>
      <w:r>
        <w:t>Además</w:t>
      </w:r>
      <w:r w:rsidR="00322AC2">
        <w:t>, la UNICEF, en su informe, “</w:t>
      </w:r>
      <w:r w:rsidR="00322AC2">
        <w:rPr>
          <w:i/>
        </w:rPr>
        <w:t>Aprendizaje a través del juego”</w:t>
      </w:r>
      <w:r w:rsidR="00322AC2">
        <w:t xml:space="preserve">, indica que, </w:t>
      </w:r>
      <w:r w:rsidR="00322AC2">
        <w:rPr>
          <w:i/>
        </w:rPr>
        <w:t>el juego constituye una de las formas más importantes en las que los niños pequeños obtienen conocimientos y competencias esenciales.  El desarrollo y el aprendizaje son de naturaleza compleja y holística; sin embargo, a través del juego pueden incentivarse todos los ámbitos del desarrollo, incluidas las competencias motoras, cognitivas, sociales y emocionales</w:t>
      </w:r>
      <w:r w:rsidR="00322AC2">
        <w:rPr>
          <w:i/>
          <w:vertAlign w:val="superscript"/>
        </w:rPr>
        <w:footnoteReference w:id="18"/>
      </w:r>
      <w:r w:rsidR="00322AC2">
        <w:rPr>
          <w:i/>
        </w:rPr>
        <w:t>.</w:t>
      </w:r>
    </w:p>
    <w:p w:rsidR="00AD7EEA" w:rsidRDefault="00AD7EEA">
      <w:pPr>
        <w:jc w:val="both"/>
        <w:rPr>
          <w:i/>
        </w:rPr>
      </w:pPr>
    </w:p>
    <w:p w:rsidR="00AD7EEA" w:rsidRDefault="00322AC2">
      <w:pPr>
        <w:jc w:val="both"/>
        <w:rPr>
          <w:i/>
        </w:rPr>
      </w:pPr>
      <w:r>
        <w:t>Es así, que el</w:t>
      </w:r>
      <w:r>
        <w:rPr>
          <w:i/>
        </w:rPr>
        <w:t xml:space="preserve"> juego sienta las bases para el desarrollo de conocimientos y competencias sociales y emocionales clave. A través del juego, los niños aprenden a forjar vínculos con los demás, y a compartir, negociar y resolver conflictos, además de contribuir a su capacidad de autoafirmación. El juego también enseña a los niños aptitudes de liderazgo, además de a relacionarse en grupo. Ayudan a afrontar las cosas, a ser capaces de disfrutar y a utilizar nuestra capacidad imaginativa e innovadora. De hecho, las aptitudes esenciales que adquieren los niños a través del juego forman parte de lo que en el futuro serán los elementos constitutivos fundamentales de las complejas</w:t>
      </w:r>
      <w:r>
        <w:rPr>
          <w:i/>
          <w:vertAlign w:val="superscript"/>
        </w:rPr>
        <w:footnoteReference w:id="19"/>
      </w:r>
      <w:r>
        <w:rPr>
          <w:i/>
        </w:rPr>
        <w:t>.</w:t>
      </w:r>
    </w:p>
    <w:p w:rsidR="00AD7EEA" w:rsidRDefault="00AD7EEA">
      <w:pPr>
        <w:jc w:val="both"/>
      </w:pPr>
    </w:p>
    <w:p w:rsidR="00AD7EEA" w:rsidRDefault="00322AC2">
      <w:pPr>
        <w:jc w:val="both"/>
      </w:pPr>
      <w:r>
        <w:lastRenderedPageBreak/>
        <w:t>Por otra parte, respecto a la Inclusión del Programa Innovadores en Seguridad Vial, en las Escuelas de padres y madres de familia y cuidadores, cuyo objeto es “</w:t>
      </w:r>
      <w:r>
        <w:rPr>
          <w:i/>
        </w:rPr>
        <w:t>fomentar la participación de los padres y madres de familia y cuidadores, de los niños, niñas y adolescentes en su formación integral</w:t>
      </w:r>
      <w:r>
        <w:rPr>
          <w:i/>
          <w:vertAlign w:val="superscript"/>
        </w:rPr>
        <w:footnoteReference w:id="20"/>
      </w:r>
      <w:r>
        <w:t>”, es vital, dado, que como se refirió anteriormente, en gran proporción un gran índice de los siniestros viales es generado a causa de las malas decisiones del factor humano.</w:t>
      </w:r>
    </w:p>
    <w:p w:rsidR="00AD7EEA" w:rsidRDefault="00AD7EEA">
      <w:pPr>
        <w:jc w:val="both"/>
      </w:pPr>
    </w:p>
    <w:p w:rsidR="00AD7EEA" w:rsidRDefault="00322AC2">
      <w:pPr>
        <w:jc w:val="both"/>
      </w:pPr>
      <w:r>
        <w:t>De tal modo, a través de dicha inclusión se busca lograr romper el paradigma de que las normas de seguridad vial son creadas para generar multas, cuando el verdadero objetivo es salvar vidas, logrando la generación de todos aquellos actos asertivos en la vía bajo el marco del autocontrol y autorregulación.</w:t>
      </w:r>
    </w:p>
    <w:p w:rsidR="00AD7EEA" w:rsidRDefault="00AD7EEA">
      <w:pPr>
        <w:jc w:val="both"/>
      </w:pPr>
    </w:p>
    <w:p w:rsidR="00AD7EEA" w:rsidRDefault="00322AC2">
      <w:pPr>
        <w:jc w:val="both"/>
      </w:pPr>
      <w:r>
        <w:t>Dado que, según el psicólogo Wilde, el índice de eventos en el tránsito, no dependen tanto de los factores objetivos de peligro, sino del nivel de riesgo aceptado por las personas.</w:t>
      </w:r>
    </w:p>
    <w:p w:rsidR="00AD7EEA" w:rsidRDefault="00AD7EEA">
      <w:pPr>
        <w:jc w:val="both"/>
      </w:pPr>
    </w:p>
    <w:p w:rsidR="00AD7EEA" w:rsidRDefault="003A39B9">
      <w:pPr>
        <w:pBdr>
          <w:top w:val="nil"/>
          <w:left w:val="nil"/>
          <w:bottom w:val="nil"/>
          <w:right w:val="nil"/>
          <w:between w:val="nil"/>
        </w:pBdr>
        <w:spacing w:after="200"/>
        <w:jc w:val="both"/>
      </w:pPr>
      <w:r>
        <w:t>Entre tanto</w:t>
      </w:r>
      <w:r w:rsidR="00322AC2">
        <w:t>, a través de la inclusión del Programa de Innovadores en Seguridad Vial, en las Escuelas de padres y madres de familia y cuidadores, se busca la generación de ambientes viales seguros y protectores de la vida a partir de comportamientos individuales y colectivos responsables y solidarios; bajo el marco de la corresponsabilidad, la autorregulación y el autocontrol.</w:t>
      </w:r>
    </w:p>
    <w:p w:rsidR="00AD7EEA" w:rsidRDefault="00AD7EEA" w:rsidP="00181544">
      <w:pPr>
        <w:pBdr>
          <w:top w:val="nil"/>
          <w:left w:val="nil"/>
          <w:bottom w:val="nil"/>
          <w:right w:val="nil"/>
          <w:between w:val="nil"/>
        </w:pBdr>
        <w:spacing w:line="276" w:lineRule="auto"/>
        <w:jc w:val="both"/>
        <w:rPr>
          <w:b/>
          <w:sz w:val="22"/>
          <w:szCs w:val="22"/>
        </w:rPr>
      </w:pPr>
    </w:p>
    <w:p w:rsidR="00AD7EEA" w:rsidRPr="00181544" w:rsidRDefault="00322AC2" w:rsidP="00181544">
      <w:pPr>
        <w:pStyle w:val="Prrafodelista"/>
        <w:numPr>
          <w:ilvl w:val="0"/>
          <w:numId w:val="2"/>
        </w:numPr>
        <w:pBdr>
          <w:top w:val="nil"/>
          <w:left w:val="nil"/>
          <w:bottom w:val="nil"/>
          <w:right w:val="nil"/>
          <w:between w:val="nil"/>
        </w:pBdr>
        <w:shd w:val="clear" w:color="auto" w:fill="FFFFFF"/>
        <w:jc w:val="both"/>
        <w:rPr>
          <w:b/>
        </w:rPr>
      </w:pPr>
      <w:r w:rsidRPr="00181544">
        <w:rPr>
          <w:b/>
        </w:rPr>
        <w:t>Marco Jurídico</w:t>
      </w:r>
    </w:p>
    <w:p w:rsidR="00AD7EEA" w:rsidRDefault="00AD7EEA">
      <w:pPr>
        <w:shd w:val="clear" w:color="auto" w:fill="FFFFFF"/>
        <w:jc w:val="both"/>
        <w:rPr>
          <w:b/>
        </w:rPr>
      </w:pPr>
    </w:p>
    <w:p w:rsidR="00AD7EEA" w:rsidRDefault="00AD7EEA">
      <w:pPr>
        <w:shd w:val="clear" w:color="auto" w:fill="FFFFFF"/>
        <w:jc w:val="both"/>
        <w:rPr>
          <w:b/>
        </w:rPr>
      </w:pPr>
    </w:p>
    <w:p w:rsidR="00AD7EEA" w:rsidRPr="00C706E4" w:rsidRDefault="00322AC2">
      <w:pPr>
        <w:jc w:val="both"/>
      </w:pPr>
      <w:r w:rsidRPr="00C706E4">
        <w:rPr>
          <w:b/>
        </w:rPr>
        <w:t xml:space="preserve">Ley 336 de </w:t>
      </w:r>
      <w:r w:rsidR="00752B1E" w:rsidRPr="00C706E4">
        <w:rPr>
          <w:b/>
        </w:rPr>
        <w:t>1996:</w:t>
      </w:r>
      <w:r w:rsidRPr="00C706E4">
        <w:t xml:space="preserve"> Estatuto General del Transporte</w:t>
      </w:r>
    </w:p>
    <w:p w:rsidR="00AD7EEA" w:rsidRPr="00C706E4" w:rsidRDefault="00AD7EEA">
      <w:pPr>
        <w:jc w:val="both"/>
      </w:pPr>
    </w:p>
    <w:p w:rsidR="00AD7EEA" w:rsidRPr="00C706E4" w:rsidRDefault="00322AC2">
      <w:pPr>
        <w:shd w:val="clear" w:color="auto" w:fill="FFFFFF"/>
        <w:jc w:val="both"/>
        <w:rPr>
          <w:b/>
        </w:rPr>
      </w:pPr>
      <w:r w:rsidRPr="00C706E4">
        <w:rPr>
          <w:b/>
        </w:rPr>
        <w:t xml:space="preserve">Ley 769 del </w:t>
      </w:r>
      <w:r w:rsidR="00752B1E" w:rsidRPr="00C706E4">
        <w:rPr>
          <w:b/>
        </w:rPr>
        <w:t>2002: Código</w:t>
      </w:r>
      <w:r w:rsidRPr="00C706E4">
        <w:rPr>
          <w:b/>
        </w:rPr>
        <w:t xml:space="preserve"> Nacional de Tránsito Terrestre</w:t>
      </w:r>
    </w:p>
    <w:p w:rsidR="00AD7EEA" w:rsidRPr="00C706E4" w:rsidRDefault="00AD7EEA">
      <w:pPr>
        <w:jc w:val="both"/>
      </w:pPr>
    </w:p>
    <w:p w:rsidR="00AD7EEA" w:rsidRPr="00C706E4" w:rsidRDefault="00322AC2">
      <w:pPr>
        <w:pBdr>
          <w:top w:val="nil"/>
          <w:left w:val="nil"/>
          <w:bottom w:val="nil"/>
          <w:right w:val="nil"/>
          <w:between w:val="nil"/>
        </w:pBdr>
        <w:jc w:val="both"/>
      </w:pPr>
      <w:r w:rsidRPr="00C706E4">
        <w:t>ARTÍCULO 4o. PARÁGRAFO 1o. El Ministerio de Transporte deberá elaborar un plan nacional de seguridad vial para disminuir la accidentalidad en el país que sirva además como base para los planes departamentales, metropolitanos, distritales y municipales, de control de piratería e ilegalidad.</w:t>
      </w:r>
    </w:p>
    <w:p w:rsidR="00AD7EEA" w:rsidRPr="00C706E4" w:rsidRDefault="00AD7EEA">
      <w:pPr>
        <w:pBdr>
          <w:top w:val="nil"/>
          <w:left w:val="nil"/>
          <w:bottom w:val="nil"/>
          <w:right w:val="nil"/>
          <w:between w:val="nil"/>
        </w:pBdr>
        <w:jc w:val="both"/>
      </w:pPr>
    </w:p>
    <w:p w:rsidR="00AD7EEA" w:rsidRPr="00C706E4" w:rsidRDefault="00322AC2">
      <w:pPr>
        <w:pBdr>
          <w:top w:val="nil"/>
          <w:left w:val="nil"/>
          <w:bottom w:val="nil"/>
          <w:right w:val="nil"/>
          <w:between w:val="nil"/>
        </w:pBdr>
        <w:jc w:val="both"/>
      </w:pPr>
      <w:r w:rsidRPr="00C706E4">
        <w:t xml:space="preserve">ARTÍCULO 7o. CUMPLIMIENTO RÉGIMEN NORMATIVO. &lt;Artículo modificado por el artículo 58 de la Ley 2197 de 2022. Las autoridades de tránsito velarán por la </w:t>
      </w:r>
      <w:r w:rsidRPr="00C706E4">
        <w:lastRenderedPageBreak/>
        <w:t>seguridad de las personas y las cosas en la vía pública y privadas abiertas al público. Sus funciones serán de carácter regulatorio y sancionatorio y sus acciones deben ser orientadas a la prevención y la asistencia técnica y humana a los usuarios de las vías</w:t>
      </w:r>
    </w:p>
    <w:p w:rsidR="00AD7EEA" w:rsidRPr="00C706E4" w:rsidRDefault="00AD7EEA">
      <w:pPr>
        <w:pBdr>
          <w:top w:val="nil"/>
          <w:left w:val="nil"/>
          <w:bottom w:val="nil"/>
          <w:right w:val="nil"/>
          <w:between w:val="nil"/>
        </w:pBdr>
        <w:jc w:val="both"/>
      </w:pPr>
    </w:p>
    <w:p w:rsidR="00AD7EEA" w:rsidRPr="00C706E4" w:rsidRDefault="00AD7EEA">
      <w:pPr>
        <w:jc w:val="both"/>
      </w:pPr>
    </w:p>
    <w:p w:rsidR="00AD7EEA" w:rsidRPr="00C706E4" w:rsidRDefault="00322AC2">
      <w:pPr>
        <w:pBdr>
          <w:top w:val="nil"/>
          <w:left w:val="nil"/>
          <w:bottom w:val="nil"/>
          <w:right w:val="nil"/>
          <w:between w:val="nil"/>
        </w:pBdr>
        <w:jc w:val="both"/>
      </w:pPr>
      <w:r w:rsidRPr="00C706E4">
        <w:t xml:space="preserve">ARTÍCULO 56. OBLIGATORIEDAD DE ENSEÑANZA. &lt;Artículo modificado por el artículo 6 de la Ley 2222 de 2022. El nuevo texto es el siguiente:&gt; Se establece como obligatoria, en la educación preescolar, básica primaria, básica secundaria, la enseñanza en educación vial de manera sistemática, de conformidad con los objetivos y propósitos señalados en la presente ley, con énfasis especial en las niñas, niños, adolescentes y jóvenes al relacionarse en el espacio público, con especial atención de los ciclistas, a fin de que se promueva el desarrollo de las competencias necesarias en la educación vial, para el uso </w:t>
      </w:r>
      <w:r w:rsidR="00752B1E" w:rsidRPr="00C706E4">
        <w:t>adecuado, responsable</w:t>
      </w:r>
      <w:r w:rsidRPr="00C706E4">
        <w:t xml:space="preserve"> y seguro de la bicicleta y otros medios de movilidad</w:t>
      </w:r>
    </w:p>
    <w:p w:rsidR="00AD7EEA" w:rsidRPr="00C706E4" w:rsidRDefault="00AD7EEA">
      <w:pPr>
        <w:jc w:val="both"/>
      </w:pPr>
    </w:p>
    <w:p w:rsidR="00AD7EEA" w:rsidRPr="00C706E4" w:rsidRDefault="00322AC2">
      <w:pPr>
        <w:jc w:val="both"/>
        <w:rPr>
          <w:b/>
        </w:rPr>
      </w:pPr>
      <w:r w:rsidRPr="00C706E4">
        <w:rPr>
          <w:b/>
        </w:rPr>
        <w:t>Directiva 13 de 2003 Ministerio de Educación Nacional</w:t>
      </w:r>
    </w:p>
    <w:p w:rsidR="00AD7EEA" w:rsidRPr="00C706E4" w:rsidRDefault="00AD7EEA">
      <w:pPr>
        <w:jc w:val="both"/>
        <w:rPr>
          <w:b/>
        </w:rPr>
      </w:pPr>
    </w:p>
    <w:p w:rsidR="00AD7EEA" w:rsidRPr="00C706E4" w:rsidRDefault="00322AC2">
      <w:pPr>
        <w:jc w:val="both"/>
      </w:pPr>
      <w:r w:rsidRPr="00C706E4">
        <w:t>Por la cual se reforma la Ley 769 de 2002 - Código Nacional de Tránsito, y se dictan otras disposiciones.</w:t>
      </w:r>
    </w:p>
    <w:p w:rsidR="00AD7EEA" w:rsidRPr="00C706E4" w:rsidRDefault="00AD7EEA">
      <w:pPr>
        <w:jc w:val="both"/>
      </w:pPr>
    </w:p>
    <w:p w:rsidR="00AD7EEA" w:rsidRPr="00C706E4" w:rsidRDefault="00322AC2">
      <w:pPr>
        <w:jc w:val="both"/>
      </w:pPr>
      <w:r w:rsidRPr="00C706E4">
        <w:t>Artículo 1°. Ámbito de aplicación y principios. Las normas del presente Código rigen en todo el territorio nacional y regulan la circulación de los peatones, usuarios, pasajeros, conductores, motociclistas, ciclistas, agentes de tránsito, y vehículos por las vías públicas o privadas que están abiertas al público, o en las vías privadas, que internamente circulen vehículos; así como la actuación y procedimientos de las autoridades de tránsito.</w:t>
      </w:r>
    </w:p>
    <w:p w:rsidR="00AD7EEA" w:rsidRPr="00C706E4" w:rsidRDefault="00AD7EEA">
      <w:pPr>
        <w:jc w:val="both"/>
      </w:pPr>
    </w:p>
    <w:p w:rsidR="00AD7EEA" w:rsidRPr="00C706E4" w:rsidRDefault="00322AC2">
      <w:pPr>
        <w:jc w:val="both"/>
      </w:pPr>
      <w:r w:rsidRPr="00C706E4">
        <w:rPr>
          <w:b/>
        </w:rPr>
        <w:t>Ley 1450 de 2011</w:t>
      </w:r>
      <w:r w:rsidRPr="00C706E4">
        <w:t>: En su artículo 179, establece la creación de programas para la formación en seguridad vial y la prevención de accidentes de tránsito, reconociendo la necesidad de incluir este tipo de educación en las currículas escolares, con un enfoque preventivo.</w:t>
      </w:r>
    </w:p>
    <w:p w:rsidR="00AD7EEA" w:rsidRPr="00C706E4" w:rsidRDefault="00AD7EEA">
      <w:pPr>
        <w:jc w:val="both"/>
      </w:pPr>
    </w:p>
    <w:p w:rsidR="00AD7EEA" w:rsidRPr="00C706E4" w:rsidRDefault="00322AC2">
      <w:pPr>
        <w:pBdr>
          <w:top w:val="nil"/>
          <w:left w:val="nil"/>
          <w:bottom w:val="nil"/>
          <w:right w:val="nil"/>
          <w:between w:val="nil"/>
        </w:pBdr>
        <w:jc w:val="both"/>
      </w:pPr>
      <w:r w:rsidRPr="00C706E4">
        <w:rPr>
          <w:b/>
        </w:rPr>
        <w:t xml:space="preserve">Ley 1503 del 2011: </w:t>
      </w:r>
      <w:r w:rsidRPr="00C706E4">
        <w:t>Por la cual se promueve la formación de hábitos, comportamientos y conductas seguros en la vía y se dictan otras disposiciones.</w:t>
      </w:r>
    </w:p>
    <w:p w:rsidR="00AD7EEA" w:rsidRPr="00C706E4" w:rsidRDefault="00AD7EEA">
      <w:pPr>
        <w:jc w:val="both"/>
      </w:pPr>
    </w:p>
    <w:p w:rsidR="00AD7EEA" w:rsidRPr="00C706E4" w:rsidRDefault="00322AC2">
      <w:pPr>
        <w:jc w:val="both"/>
      </w:pPr>
      <w:r w:rsidRPr="00C706E4">
        <w:rPr>
          <w:b/>
        </w:rPr>
        <w:t>Ley 1562 del 2012:</w:t>
      </w:r>
      <w:r w:rsidRPr="00C706E4">
        <w:t xml:space="preserve"> Sanciones - no cumplimiento PESV</w:t>
      </w:r>
    </w:p>
    <w:p w:rsidR="00AD7EEA" w:rsidRPr="00C706E4" w:rsidRDefault="00AD7EEA">
      <w:pPr>
        <w:jc w:val="both"/>
      </w:pPr>
    </w:p>
    <w:p w:rsidR="00AD7EEA" w:rsidRPr="00C706E4" w:rsidRDefault="00322AC2">
      <w:pPr>
        <w:jc w:val="both"/>
      </w:pPr>
      <w:r w:rsidRPr="00C706E4">
        <w:rPr>
          <w:b/>
        </w:rPr>
        <w:lastRenderedPageBreak/>
        <w:t xml:space="preserve">Ley 1702 del 2013: </w:t>
      </w:r>
      <w:r w:rsidRPr="00C706E4">
        <w:t>Se crea la Agencia Nacional De Seguridad Vial, cuyo objetivo es: La Agencia Nacional de Seguridad Vial (ANSV), tendrá como objeto la planificación, articulación y gestión de la seguridad vial del país.</w:t>
      </w:r>
    </w:p>
    <w:p w:rsidR="00AD7EEA" w:rsidRPr="00C706E4" w:rsidRDefault="00AD7EEA">
      <w:pPr>
        <w:jc w:val="both"/>
      </w:pPr>
    </w:p>
    <w:p w:rsidR="00AD7EEA" w:rsidRPr="00C706E4" w:rsidRDefault="00322AC2">
      <w:pPr>
        <w:jc w:val="both"/>
      </w:pPr>
      <w:r w:rsidRPr="00C706E4">
        <w:rPr>
          <w:b/>
        </w:rPr>
        <w:t xml:space="preserve">Ley 1811 de 2016: </w:t>
      </w:r>
      <w:r w:rsidRPr="00C706E4">
        <w:t>Por la cual se otorgan incentivos para promover el uso de la bicicleta en el territorio nacional y se modifica el Código Nacional de Tránsito.</w:t>
      </w:r>
    </w:p>
    <w:p w:rsidR="00AD7EEA" w:rsidRPr="00C706E4" w:rsidRDefault="00AD7EEA">
      <w:pPr>
        <w:jc w:val="both"/>
      </w:pPr>
    </w:p>
    <w:p w:rsidR="00AD7EEA" w:rsidRPr="00C706E4" w:rsidRDefault="00322AC2">
      <w:pPr>
        <w:jc w:val="both"/>
      </w:pPr>
      <w:r w:rsidRPr="00C706E4">
        <w:rPr>
          <w:b/>
        </w:rPr>
        <w:t xml:space="preserve">Ley 1843 de 2017: </w:t>
      </w:r>
      <w:r w:rsidRPr="00C706E4">
        <w:t>Por medio de la cual se regula la instalación y puesta en marcha de sistemas automáticos semiautomáticos y otros medios tecnológicos para la detección de infracciones y se dictan otras disposiciones.</w:t>
      </w:r>
    </w:p>
    <w:p w:rsidR="00AD7EEA" w:rsidRPr="00C706E4" w:rsidRDefault="00AD7EEA">
      <w:pPr>
        <w:jc w:val="both"/>
      </w:pPr>
    </w:p>
    <w:p w:rsidR="00AD7EEA" w:rsidRPr="00C706E4" w:rsidRDefault="00322AC2">
      <w:pPr>
        <w:jc w:val="both"/>
      </w:pPr>
      <w:r w:rsidRPr="00C706E4">
        <w:rPr>
          <w:b/>
        </w:rPr>
        <w:t>Ley 1821 de 2017:</w:t>
      </w:r>
      <w:r w:rsidRPr="00C706E4">
        <w:t xml:space="preserve"> Esta ley promueve la seguridad vial como una política pública en Colombia. Tiene como objetivo mejorar la educación vial en el país, especialmente en las etapas más tempranas de la vida, y establece la necesidad de implementar programas en el ámbito educativo</w:t>
      </w:r>
      <w:r w:rsidRPr="00C706E4">
        <w:rPr>
          <w:color w:val="00796B"/>
        </w:rPr>
        <w:t>.</w:t>
      </w:r>
    </w:p>
    <w:p w:rsidR="00AD7EEA" w:rsidRPr="00C706E4" w:rsidRDefault="00AD7EEA">
      <w:pPr>
        <w:jc w:val="both"/>
      </w:pPr>
    </w:p>
    <w:p w:rsidR="00AD7EEA" w:rsidRPr="00C706E4" w:rsidRDefault="00AD7EEA">
      <w:pPr>
        <w:jc w:val="both"/>
      </w:pPr>
    </w:p>
    <w:p w:rsidR="00AD7EEA" w:rsidRPr="00C706E4" w:rsidRDefault="00322AC2">
      <w:pPr>
        <w:jc w:val="both"/>
      </w:pPr>
      <w:r w:rsidRPr="00C706E4">
        <w:rPr>
          <w:b/>
        </w:rPr>
        <w:t xml:space="preserve">Ley 2025 DE </w:t>
      </w:r>
      <w:r w:rsidR="00752B1E" w:rsidRPr="00C706E4">
        <w:rPr>
          <w:b/>
        </w:rPr>
        <w:t>2020:</w:t>
      </w:r>
      <w:r w:rsidRPr="00C706E4">
        <w:rPr>
          <w:b/>
        </w:rPr>
        <w:t xml:space="preserve"> </w:t>
      </w:r>
      <w:r w:rsidRPr="00C706E4">
        <w:t>Por medio de la cual se establecen lineamientos para la implementación de las escuelas para padres y madres de familia y cuidadores, en las instituciones de educación preescolar, básica y media del país.</w:t>
      </w:r>
    </w:p>
    <w:p w:rsidR="00AD7EEA" w:rsidRPr="00C706E4" w:rsidRDefault="00AD7EEA">
      <w:pPr>
        <w:jc w:val="both"/>
      </w:pPr>
    </w:p>
    <w:p w:rsidR="00AD7EEA" w:rsidRPr="00C706E4" w:rsidRDefault="00322AC2">
      <w:pPr>
        <w:jc w:val="both"/>
      </w:pPr>
      <w:r w:rsidRPr="00C706E4">
        <w:rPr>
          <w:b/>
        </w:rPr>
        <w:t xml:space="preserve">Ley 2050 del </w:t>
      </w:r>
      <w:r w:rsidR="00752B1E" w:rsidRPr="00C706E4">
        <w:rPr>
          <w:b/>
        </w:rPr>
        <w:t>2020:</w:t>
      </w:r>
      <w:r w:rsidRPr="00C706E4">
        <w:rPr>
          <w:b/>
        </w:rPr>
        <w:t xml:space="preserve"> </w:t>
      </w:r>
      <w:r w:rsidRPr="00C706E4">
        <w:t>Disposiciones generales para la consolidación y difusión de los Planes Estratégicos de Seguridad Vial.</w:t>
      </w:r>
    </w:p>
    <w:p w:rsidR="00AD7EEA" w:rsidRPr="00C706E4" w:rsidRDefault="00AD7EEA">
      <w:pPr>
        <w:jc w:val="both"/>
      </w:pPr>
    </w:p>
    <w:p w:rsidR="00AD7EEA" w:rsidRPr="00C706E4" w:rsidRDefault="00AD7EEA">
      <w:pPr>
        <w:shd w:val="clear" w:color="auto" w:fill="FFFFFF"/>
        <w:jc w:val="both"/>
      </w:pPr>
    </w:p>
    <w:p w:rsidR="00AD7EEA" w:rsidRPr="00C706E4" w:rsidRDefault="00322AC2" w:rsidP="00556C55">
      <w:pPr>
        <w:pStyle w:val="Prrafodelista"/>
        <w:numPr>
          <w:ilvl w:val="1"/>
          <w:numId w:val="6"/>
        </w:numPr>
        <w:pBdr>
          <w:top w:val="nil"/>
          <w:left w:val="nil"/>
          <w:bottom w:val="nil"/>
          <w:right w:val="nil"/>
          <w:between w:val="nil"/>
        </w:pBdr>
        <w:shd w:val="clear" w:color="auto" w:fill="FFFFFF"/>
        <w:jc w:val="both"/>
        <w:rPr>
          <w:b/>
        </w:rPr>
      </w:pPr>
      <w:r w:rsidRPr="00C706E4">
        <w:rPr>
          <w:b/>
        </w:rPr>
        <w:t>Decretos</w:t>
      </w:r>
    </w:p>
    <w:p w:rsidR="00AD7EEA" w:rsidRPr="00C706E4" w:rsidRDefault="00AD7EEA">
      <w:pPr>
        <w:pBdr>
          <w:top w:val="nil"/>
          <w:left w:val="nil"/>
          <w:bottom w:val="nil"/>
          <w:right w:val="nil"/>
          <w:between w:val="nil"/>
        </w:pBdr>
        <w:shd w:val="clear" w:color="auto" w:fill="FFFFFF"/>
        <w:ind w:left="720"/>
        <w:jc w:val="both"/>
        <w:rPr>
          <w:b/>
        </w:rPr>
      </w:pPr>
    </w:p>
    <w:p w:rsidR="00AD7EEA" w:rsidRPr="00C706E4" w:rsidRDefault="00322AC2">
      <w:pPr>
        <w:jc w:val="both"/>
      </w:pPr>
      <w:r w:rsidRPr="00C706E4">
        <w:rPr>
          <w:b/>
        </w:rPr>
        <w:t xml:space="preserve">Decreto 463 de </w:t>
      </w:r>
      <w:r w:rsidR="00752B1E" w:rsidRPr="00C706E4">
        <w:rPr>
          <w:b/>
        </w:rPr>
        <w:t>1938:</w:t>
      </w:r>
      <w:r w:rsidRPr="00C706E4">
        <w:rPr>
          <w:b/>
        </w:rPr>
        <w:t xml:space="preserve"> </w:t>
      </w:r>
      <w:r w:rsidRPr="00C706E4">
        <w:t>Establece que tanto las Universidades como todos los Colegios oficiales y privados, deberán impartir las reglas de regulación y tránsito a sus alumnos.</w:t>
      </w:r>
    </w:p>
    <w:p w:rsidR="00AD7EEA" w:rsidRPr="00C706E4" w:rsidRDefault="00AD7EEA">
      <w:pPr>
        <w:shd w:val="clear" w:color="auto" w:fill="FFFFFF"/>
        <w:jc w:val="both"/>
      </w:pPr>
    </w:p>
    <w:p w:rsidR="00AD7EEA" w:rsidRPr="00C706E4" w:rsidRDefault="00322AC2">
      <w:pPr>
        <w:jc w:val="both"/>
      </w:pPr>
      <w:r w:rsidRPr="00C706E4">
        <w:rPr>
          <w:b/>
        </w:rPr>
        <w:t xml:space="preserve">Decreto 164 de </w:t>
      </w:r>
      <w:r w:rsidR="00752B1E" w:rsidRPr="00C706E4">
        <w:rPr>
          <w:b/>
        </w:rPr>
        <w:t>2007:</w:t>
      </w:r>
      <w:r w:rsidRPr="00C706E4">
        <w:rPr>
          <w:b/>
        </w:rPr>
        <w:t xml:space="preserve"> </w:t>
      </w:r>
      <w:r w:rsidRPr="00C706E4">
        <w:t>Por el cual se adopta la formación en seguridad vial escolar como proyecto pedagógico transversal del currículo para todas las instituciones educativas públicas y privadas de Bogotá D.C.</w:t>
      </w:r>
    </w:p>
    <w:p w:rsidR="00AD7EEA" w:rsidRPr="00C706E4" w:rsidRDefault="00AD7EEA">
      <w:pPr>
        <w:jc w:val="both"/>
        <w:rPr>
          <w:b/>
        </w:rPr>
      </w:pPr>
    </w:p>
    <w:p w:rsidR="00AD7EEA" w:rsidRPr="00C706E4" w:rsidRDefault="00322AC2">
      <w:pPr>
        <w:jc w:val="both"/>
        <w:rPr>
          <w:b/>
        </w:rPr>
      </w:pPr>
      <w:r w:rsidRPr="00C706E4">
        <w:rPr>
          <w:b/>
        </w:rPr>
        <w:t xml:space="preserve">Ministerio de Salud </w:t>
      </w:r>
      <w:r w:rsidR="00752B1E" w:rsidRPr="00C706E4">
        <w:rPr>
          <w:b/>
        </w:rPr>
        <w:t>2013:</w:t>
      </w:r>
      <w:r w:rsidRPr="00C706E4">
        <w:rPr>
          <w:b/>
        </w:rPr>
        <w:t xml:space="preserve"> </w:t>
      </w:r>
      <w:r w:rsidRPr="00C706E4">
        <w:t>Promoción del consumo responsable de alcohol.</w:t>
      </w:r>
    </w:p>
    <w:p w:rsidR="00AD7EEA" w:rsidRPr="00C706E4" w:rsidRDefault="00AD7EEA">
      <w:pPr>
        <w:jc w:val="both"/>
        <w:rPr>
          <w:b/>
        </w:rPr>
      </w:pPr>
    </w:p>
    <w:p w:rsidR="00AD7EEA" w:rsidRPr="00C706E4" w:rsidRDefault="00322AC2">
      <w:pPr>
        <w:jc w:val="both"/>
      </w:pPr>
      <w:r w:rsidRPr="00C706E4">
        <w:rPr>
          <w:b/>
        </w:rPr>
        <w:t xml:space="preserve">Decreto 2851 del 2013: </w:t>
      </w:r>
      <w:r w:rsidRPr="00C706E4">
        <w:t xml:space="preserve">Artículo 6°. Objetivos de los planes estratégicos de consumo responsable de alcohol. Los siguientes serán los objetivos de los Planes </w:t>
      </w:r>
      <w:r w:rsidRPr="00C706E4">
        <w:lastRenderedPageBreak/>
        <w:t>Estratégicos a adoptar por parte de los establecimientos de expendio y/o consumo de bebidas alcohólicas:</w:t>
      </w:r>
    </w:p>
    <w:p w:rsidR="00AD7EEA" w:rsidRPr="00C706E4" w:rsidRDefault="00AD7EEA">
      <w:pPr>
        <w:jc w:val="both"/>
      </w:pPr>
    </w:p>
    <w:p w:rsidR="00AD7EEA" w:rsidRPr="00C706E4" w:rsidRDefault="00322AC2">
      <w:pPr>
        <w:jc w:val="both"/>
      </w:pPr>
      <w:r w:rsidRPr="00C706E4">
        <w:t>a) Ofrecer alternativas para los usuarios de los establecimientos de expendio y/o con­sumo de bebidas alcohólicas que no consumen bebidas alcohólicas y para quienes van a conducir, en el contexto de seguridad y educación vial;</w:t>
      </w:r>
    </w:p>
    <w:p w:rsidR="00AD7EEA" w:rsidRPr="00C706E4" w:rsidRDefault="00AD7EEA">
      <w:pPr>
        <w:jc w:val="both"/>
      </w:pPr>
    </w:p>
    <w:p w:rsidR="00AD7EEA" w:rsidRPr="00C706E4" w:rsidRDefault="00322AC2">
      <w:pPr>
        <w:jc w:val="both"/>
      </w:pPr>
      <w:r w:rsidRPr="00C706E4">
        <w:t>b) Promover el consumo responsable de alcohol entre los usuarios del establecimiento de expendio y/o consumo de bebidas alcohólicas con el fin de prevenir situaciones problemáticas que alteren el ambiente del lugar o que pongan en riesgo a los demás usuarios del establecimiento y al personal del mismo;</w:t>
      </w:r>
    </w:p>
    <w:p w:rsidR="00AD7EEA" w:rsidRPr="00C706E4" w:rsidRDefault="00AD7EEA">
      <w:pPr>
        <w:jc w:val="both"/>
      </w:pPr>
    </w:p>
    <w:p w:rsidR="00AD7EEA" w:rsidRPr="00C706E4" w:rsidRDefault="00322AC2">
      <w:pPr>
        <w:jc w:val="both"/>
      </w:pPr>
      <w:r w:rsidRPr="00C706E4">
        <w:t>c) Generar las condiciones dentro del establecimiento de expendio y/o consumo de bebidas alcohólicas para responder efectivamente a situaciones problemáticas derivadas del consumo inmoderado de alcohol.</w:t>
      </w:r>
    </w:p>
    <w:p w:rsidR="00AD7EEA" w:rsidRPr="00C706E4" w:rsidRDefault="00AD7EEA">
      <w:pPr>
        <w:jc w:val="both"/>
      </w:pPr>
    </w:p>
    <w:p w:rsidR="00AD7EEA" w:rsidRPr="00C706E4" w:rsidRDefault="00322AC2">
      <w:pPr>
        <w:jc w:val="both"/>
      </w:pPr>
      <w:r w:rsidRPr="00C706E4">
        <w:rPr>
          <w:b/>
        </w:rPr>
        <w:t xml:space="preserve">Decreto 594 de 2015 : </w:t>
      </w:r>
      <w:r w:rsidRPr="00C706E4">
        <w:t>Se adopta el Plan de Movilidad Escolar, el cual estará orientado al adecuado desplazamiento de estudiantes en medios motorizados y no motorizados, con medidas de regulación o control del tránsito en vías adyacentes a instituciones educativas.</w:t>
      </w:r>
    </w:p>
    <w:p w:rsidR="00AD7EEA" w:rsidRPr="00C706E4" w:rsidRDefault="00AD7EEA">
      <w:pPr>
        <w:jc w:val="both"/>
        <w:rPr>
          <w:b/>
        </w:rPr>
      </w:pPr>
    </w:p>
    <w:p w:rsidR="00AD7EEA" w:rsidRPr="00C706E4" w:rsidRDefault="00322AC2">
      <w:pPr>
        <w:pBdr>
          <w:top w:val="nil"/>
          <w:left w:val="nil"/>
          <w:bottom w:val="nil"/>
          <w:right w:val="nil"/>
          <w:between w:val="nil"/>
        </w:pBdr>
        <w:jc w:val="both"/>
      </w:pPr>
      <w:r w:rsidRPr="00C706E4">
        <w:rPr>
          <w:b/>
        </w:rPr>
        <w:t xml:space="preserve">Decreto- Ley 2106 de 2019: </w:t>
      </w:r>
      <w:r w:rsidRPr="00C706E4">
        <w:t>Artículo 110. Diseño, implementación y verificación del plan estratégico de seguridad vial. El artículo 12 de la Ley 1503 de 2011 quedará así:</w:t>
      </w:r>
    </w:p>
    <w:p w:rsidR="00AD7EEA" w:rsidRPr="00C706E4" w:rsidRDefault="00AD7EEA">
      <w:pPr>
        <w:pBdr>
          <w:top w:val="nil"/>
          <w:left w:val="nil"/>
          <w:bottom w:val="nil"/>
          <w:right w:val="nil"/>
          <w:between w:val="nil"/>
        </w:pBdr>
        <w:jc w:val="both"/>
      </w:pPr>
    </w:p>
    <w:p w:rsidR="00AD7EEA" w:rsidRPr="00C706E4" w:rsidRDefault="00322AC2">
      <w:pPr>
        <w:pBdr>
          <w:top w:val="nil"/>
          <w:left w:val="nil"/>
          <w:bottom w:val="nil"/>
          <w:right w:val="nil"/>
          <w:between w:val="nil"/>
        </w:pBdr>
        <w:jc w:val="both"/>
      </w:pPr>
      <w:r w:rsidRPr="00C706E4">
        <w:t>“Artículo 12. Diseño, implementación y verificación del Plan Estratégico de Seguridad Vial. Toda entidad, organización o empresa del sector público o privado, que cuente con una flota de vehículos automotores o no automotores superior a diez (10) unidades, o que contrate o administre personal de conductores, deberá diseñar e implementar un Plan Estratégico de Seguridad Vial en función de su misionalidad y tamaño, de acuerdo con la metodología expedida por el Ministerio de Transporte y articularlo con su Sistema de Gestión de Seguridad y Salud en el Trabajo.</w:t>
      </w:r>
    </w:p>
    <w:p w:rsidR="00AD7EEA" w:rsidRPr="00C706E4" w:rsidRDefault="00AD7EEA">
      <w:pPr>
        <w:jc w:val="both"/>
      </w:pPr>
    </w:p>
    <w:p w:rsidR="00AD7EEA" w:rsidRPr="00C706E4" w:rsidRDefault="00322AC2">
      <w:pPr>
        <w:jc w:val="both"/>
      </w:pPr>
      <w:r w:rsidRPr="00C706E4">
        <w:rPr>
          <w:b/>
        </w:rPr>
        <w:t xml:space="preserve">Decreto 813 de </w:t>
      </w:r>
      <w:r w:rsidR="00752B1E" w:rsidRPr="00C706E4">
        <w:rPr>
          <w:b/>
        </w:rPr>
        <w:t>2017:</w:t>
      </w:r>
      <w:r w:rsidRPr="00C706E4">
        <w:rPr>
          <w:b/>
        </w:rPr>
        <w:t xml:space="preserve"> </w:t>
      </w:r>
      <w:r w:rsidRPr="00C706E4">
        <w:t>Por el cual se adopta el Plan Distrital de Seguridad Vial y de Motociclista 2017-2026. (derogado por el Decreto 494 de 2023).</w:t>
      </w:r>
    </w:p>
    <w:p w:rsidR="00AD7EEA" w:rsidRPr="00C706E4" w:rsidRDefault="00AD7EEA">
      <w:pPr>
        <w:jc w:val="both"/>
      </w:pPr>
    </w:p>
    <w:p w:rsidR="00AD7EEA" w:rsidRPr="00C706E4" w:rsidRDefault="00322AC2">
      <w:pPr>
        <w:jc w:val="both"/>
      </w:pPr>
      <w:r w:rsidRPr="00C706E4">
        <w:rPr>
          <w:b/>
        </w:rPr>
        <w:t xml:space="preserve">Decreto 1251 del </w:t>
      </w:r>
      <w:r w:rsidR="00752B1E" w:rsidRPr="00C706E4">
        <w:rPr>
          <w:b/>
        </w:rPr>
        <w:t>2021:</w:t>
      </w:r>
      <w:r w:rsidRPr="00C706E4">
        <w:rPr>
          <w:b/>
        </w:rPr>
        <w:t xml:space="preserve"> </w:t>
      </w:r>
      <w:r w:rsidRPr="00C706E4">
        <w:t xml:space="preserve">"Por el cual se modifica el literal a del artículo 2.3.2.1 del Título 2 de la Parte 3 del Li­bro 2 y se sustituye el Capítulo 3 del Título 2 de la Parte </w:t>
      </w:r>
      <w:r w:rsidRPr="00C706E4">
        <w:lastRenderedPageBreak/>
        <w:t>3 del Libro 2 del Decreto 1079 de 2015, único Reglamentario del Sector Transporte, en lo relacionado con los Planes Estratégicos de Seguridad Vial".</w:t>
      </w:r>
    </w:p>
    <w:p w:rsidR="00AD7EEA" w:rsidRPr="00C706E4" w:rsidRDefault="00AD7EEA">
      <w:pPr>
        <w:jc w:val="both"/>
      </w:pPr>
    </w:p>
    <w:p w:rsidR="00AD7EEA" w:rsidRPr="00C706E4" w:rsidRDefault="00322AC2">
      <w:pPr>
        <w:jc w:val="both"/>
      </w:pPr>
      <w:r w:rsidRPr="00C706E4">
        <w:rPr>
          <w:b/>
        </w:rPr>
        <w:t xml:space="preserve">Decreto 1430 del </w:t>
      </w:r>
      <w:r w:rsidR="00752B1E" w:rsidRPr="00C706E4">
        <w:rPr>
          <w:b/>
        </w:rPr>
        <w:t>2022:</w:t>
      </w:r>
      <w:r w:rsidRPr="00C706E4">
        <w:t xml:space="preserve"> Aprueba el Plan Nacional de Seguridad Vial para la vigencia 2022-2031.</w:t>
      </w:r>
    </w:p>
    <w:p w:rsidR="00AD7EEA" w:rsidRPr="00C706E4" w:rsidRDefault="00AD7EEA">
      <w:pPr>
        <w:jc w:val="both"/>
      </w:pPr>
    </w:p>
    <w:p w:rsidR="00AD7EEA" w:rsidRPr="00C706E4" w:rsidRDefault="00322AC2">
      <w:pPr>
        <w:jc w:val="both"/>
      </w:pPr>
      <w:r w:rsidRPr="00C706E4">
        <w:rPr>
          <w:b/>
        </w:rPr>
        <w:t xml:space="preserve">Decreto 494 de </w:t>
      </w:r>
      <w:r w:rsidR="00752B1E" w:rsidRPr="00C706E4">
        <w:rPr>
          <w:b/>
        </w:rPr>
        <w:t>2023:</w:t>
      </w:r>
      <w:r w:rsidRPr="00C706E4">
        <w:rPr>
          <w:b/>
        </w:rPr>
        <w:t xml:space="preserve"> </w:t>
      </w:r>
      <w:r w:rsidRPr="00C706E4">
        <w:t>Por medio del cual se adopta el Plan Distrital de Seguridad Vial 2023-2032 y se dictan otras disposiciones. La meta del PDSV 2023-2032 es reducir en un 50% el número de víctimas fallecidas (indicador a 30 días) en siniestros viales para el año 2032, tomando como base la cifra definitiva del año 2022.</w:t>
      </w:r>
    </w:p>
    <w:p w:rsidR="00AD7EEA" w:rsidRPr="00C706E4" w:rsidRDefault="00AD7EEA">
      <w:pPr>
        <w:jc w:val="both"/>
      </w:pPr>
    </w:p>
    <w:p w:rsidR="00AD7EEA" w:rsidRPr="00C706E4" w:rsidRDefault="00AD7EEA">
      <w:pPr>
        <w:jc w:val="both"/>
      </w:pPr>
    </w:p>
    <w:p w:rsidR="00AD7EEA" w:rsidRPr="00C706E4" w:rsidRDefault="00322AC2">
      <w:pPr>
        <w:jc w:val="both"/>
      </w:pPr>
      <w:r w:rsidRPr="00C706E4">
        <w:rPr>
          <w:b/>
        </w:rPr>
        <w:t>Resolución 40595 del 2022:</w:t>
      </w:r>
      <w:r w:rsidRPr="00C706E4">
        <w:rPr>
          <w:i/>
        </w:rPr>
        <w:t xml:space="preserve"> </w:t>
      </w:r>
      <w:r w:rsidRPr="00C706E4">
        <w:t>Por la cual se adopta la metodología para el diseño, implementación y verificación de los Planes Estratégicos de Seguridad Vial y se dictan otras disposiciones.</w:t>
      </w:r>
    </w:p>
    <w:p w:rsidR="00AD7EEA" w:rsidRPr="00C706E4" w:rsidRDefault="00AD7EEA">
      <w:pPr>
        <w:jc w:val="both"/>
      </w:pPr>
    </w:p>
    <w:p w:rsidR="00AD7EEA" w:rsidRPr="00C706E4" w:rsidRDefault="00322AC2">
      <w:pPr>
        <w:jc w:val="both"/>
      </w:pPr>
      <w:r w:rsidRPr="00C706E4">
        <w:rPr>
          <w:b/>
        </w:rPr>
        <w:t xml:space="preserve">Resolución 2273 de </w:t>
      </w:r>
      <w:r w:rsidR="00752B1E" w:rsidRPr="00C706E4">
        <w:rPr>
          <w:b/>
        </w:rPr>
        <w:t>2014:</w:t>
      </w:r>
      <w:r w:rsidRPr="00C706E4">
        <w:t xml:space="preserve"> Por la cual se ajusta el Plan Nacional de Seguridad Vial 2011-2021 y se dictan otras disposiciones.</w:t>
      </w:r>
    </w:p>
    <w:p w:rsidR="00AD7EEA" w:rsidRPr="00C706E4" w:rsidRDefault="00AD7EEA">
      <w:pPr>
        <w:jc w:val="both"/>
      </w:pPr>
    </w:p>
    <w:p w:rsidR="00AD7EEA" w:rsidRPr="00C706E4" w:rsidRDefault="00AD7EEA">
      <w:pPr>
        <w:jc w:val="both"/>
      </w:pPr>
    </w:p>
    <w:p w:rsidR="00AD7EEA" w:rsidRPr="00C706E4" w:rsidRDefault="00322AC2" w:rsidP="00556C55">
      <w:pPr>
        <w:pStyle w:val="Prrafodelista"/>
        <w:numPr>
          <w:ilvl w:val="1"/>
          <w:numId w:val="2"/>
        </w:numPr>
        <w:pBdr>
          <w:top w:val="nil"/>
          <w:left w:val="nil"/>
          <w:bottom w:val="nil"/>
          <w:right w:val="nil"/>
          <w:between w:val="nil"/>
        </w:pBdr>
        <w:shd w:val="clear" w:color="auto" w:fill="FFFFFF"/>
        <w:jc w:val="both"/>
        <w:rPr>
          <w:b/>
        </w:rPr>
      </w:pPr>
      <w:r w:rsidRPr="00C706E4">
        <w:rPr>
          <w:b/>
        </w:rPr>
        <w:t>Acuerdos</w:t>
      </w:r>
    </w:p>
    <w:p w:rsidR="00AD7EEA" w:rsidRPr="00C706E4" w:rsidRDefault="00AD7EEA"/>
    <w:p w:rsidR="00AD7EEA" w:rsidRPr="00C706E4" w:rsidRDefault="00322AC2">
      <w:pPr>
        <w:jc w:val="both"/>
      </w:pPr>
      <w:r w:rsidRPr="00C706E4">
        <w:rPr>
          <w:b/>
        </w:rPr>
        <w:t>Acuerdo 822 De 2021:</w:t>
      </w:r>
      <w:r w:rsidRPr="00C706E4">
        <w:t xml:space="preserve"> Por medio del cual se dictan los lineamientos para la promoción del ciclo virtuoso de la seguridad, el uso y aprovechamiento de los datos en Bogotá.</w:t>
      </w:r>
    </w:p>
    <w:p w:rsidR="00556C55" w:rsidRPr="00C706E4" w:rsidRDefault="00556C55">
      <w:pPr>
        <w:jc w:val="both"/>
      </w:pPr>
    </w:p>
    <w:p w:rsidR="00AD7EEA" w:rsidRPr="00C706E4" w:rsidRDefault="00322AC2">
      <w:pPr>
        <w:pBdr>
          <w:top w:val="nil"/>
          <w:left w:val="nil"/>
          <w:bottom w:val="nil"/>
          <w:right w:val="nil"/>
          <w:between w:val="nil"/>
        </w:pBdr>
        <w:jc w:val="both"/>
      </w:pPr>
      <w:r w:rsidRPr="00C706E4">
        <w:rPr>
          <w:b/>
        </w:rPr>
        <w:t xml:space="preserve">Acuerdo 650 DE </w:t>
      </w:r>
      <w:r w:rsidR="00752B1E" w:rsidRPr="00C706E4">
        <w:rPr>
          <w:b/>
        </w:rPr>
        <w:t>2016</w:t>
      </w:r>
      <w:r w:rsidR="00752B1E" w:rsidRPr="00C706E4">
        <w:t>:</w:t>
      </w:r>
      <w:r w:rsidRPr="00C706E4">
        <w:t xml:space="preserve"> Por medio del cual se crea el programa “innovadores escolares en seguridad vial” en los planes de formación en seguridad vial escolar en el distrito capital” y se dictan otras disposiciones</w:t>
      </w:r>
    </w:p>
    <w:p w:rsidR="00556C55" w:rsidRPr="00C706E4" w:rsidRDefault="00556C55">
      <w:pPr>
        <w:pBdr>
          <w:top w:val="nil"/>
          <w:left w:val="nil"/>
          <w:bottom w:val="nil"/>
          <w:right w:val="nil"/>
          <w:between w:val="nil"/>
        </w:pBdr>
        <w:jc w:val="both"/>
      </w:pPr>
    </w:p>
    <w:p w:rsidR="00AD7EEA" w:rsidRPr="00C706E4" w:rsidRDefault="00322AC2">
      <w:pPr>
        <w:pBdr>
          <w:top w:val="nil"/>
          <w:left w:val="nil"/>
          <w:bottom w:val="nil"/>
          <w:right w:val="nil"/>
          <w:between w:val="nil"/>
        </w:pBdr>
        <w:jc w:val="both"/>
      </w:pPr>
      <w:r w:rsidRPr="00C706E4">
        <w:rPr>
          <w:b/>
        </w:rPr>
        <w:t xml:space="preserve">Acuerdo 708 de </w:t>
      </w:r>
      <w:r w:rsidR="00752B1E" w:rsidRPr="00C706E4">
        <w:rPr>
          <w:b/>
        </w:rPr>
        <w:t>2018:</w:t>
      </w:r>
      <w:r w:rsidRPr="00C706E4">
        <w:rPr>
          <w:b/>
        </w:rPr>
        <w:t xml:space="preserve"> </w:t>
      </w:r>
      <w:r w:rsidRPr="00C706E4">
        <w:t>Por medio del cual se adoptan los lineamientos de la política pública de la bicicleta en el distrito capital y se dictan otras disposiciones</w:t>
      </w:r>
    </w:p>
    <w:p w:rsidR="00556C55" w:rsidRPr="00C706E4" w:rsidRDefault="00556C55">
      <w:pPr>
        <w:pBdr>
          <w:top w:val="nil"/>
          <w:left w:val="nil"/>
          <w:bottom w:val="nil"/>
          <w:right w:val="nil"/>
          <w:between w:val="nil"/>
        </w:pBdr>
        <w:jc w:val="both"/>
      </w:pPr>
    </w:p>
    <w:p w:rsidR="00AD7EEA" w:rsidRPr="00C706E4" w:rsidRDefault="00322AC2">
      <w:pPr>
        <w:pBdr>
          <w:top w:val="nil"/>
          <w:left w:val="nil"/>
          <w:bottom w:val="nil"/>
          <w:right w:val="nil"/>
          <w:between w:val="nil"/>
        </w:pBdr>
        <w:jc w:val="both"/>
      </w:pPr>
      <w:r w:rsidRPr="00C706E4">
        <w:rPr>
          <w:b/>
        </w:rPr>
        <w:t xml:space="preserve">Acuerdo 761 del </w:t>
      </w:r>
      <w:r w:rsidR="00752B1E" w:rsidRPr="00C706E4">
        <w:rPr>
          <w:b/>
        </w:rPr>
        <w:t>2020:</w:t>
      </w:r>
      <w:r w:rsidRPr="00C706E4">
        <w:t xml:space="preserve"> se adopta el “el Plan de desarrollo económico, social, ambiental y de obras públicas del Distrito Capital 2020-2024 “Un nuevo contrato social y ambiental para la Bogotá del siglo XXI”, y en su artículo 12 metas trazadoras - Propósito 4: Hacer de Bogotá región un modelo de movilidad multimodal, incluyente y sostenible, meta 63:</w:t>
      </w:r>
    </w:p>
    <w:p w:rsidR="00AD7EEA" w:rsidRPr="00C706E4" w:rsidRDefault="00322AC2">
      <w:pPr>
        <w:pBdr>
          <w:top w:val="nil"/>
          <w:left w:val="nil"/>
          <w:bottom w:val="nil"/>
          <w:right w:val="nil"/>
          <w:between w:val="nil"/>
        </w:pBdr>
        <w:jc w:val="both"/>
      </w:pPr>
      <w:r w:rsidRPr="00C706E4">
        <w:lastRenderedPageBreak/>
        <w:t>“A 2024 Reducir en 20% el número de víctimas fatales por siniestros viales para cada uno de los actores de la vía”.</w:t>
      </w:r>
    </w:p>
    <w:p w:rsidR="00AD7EEA" w:rsidRPr="00C706E4" w:rsidRDefault="00322AC2">
      <w:pPr>
        <w:jc w:val="both"/>
      </w:pPr>
      <w:r w:rsidRPr="00C706E4">
        <w:rPr>
          <w:b/>
        </w:rPr>
        <w:t>Acuerdo 836 de 2022 :</w:t>
      </w:r>
      <w:r w:rsidRPr="00C706E4">
        <w:t xml:space="preserve"> Por el cual se dictan los principios generales, y lineamientos de la política pública del peatón “En Bogotá, primero el peatón” y se dictan otras disposiciones.</w:t>
      </w:r>
    </w:p>
    <w:p w:rsidR="00AD7EEA" w:rsidRPr="00C706E4" w:rsidRDefault="00AD7EEA">
      <w:pPr>
        <w:jc w:val="both"/>
      </w:pPr>
    </w:p>
    <w:p w:rsidR="00AD7EEA" w:rsidRPr="00C706E4" w:rsidRDefault="00322AC2">
      <w:pPr>
        <w:jc w:val="both"/>
      </w:pPr>
      <w:r w:rsidRPr="00C706E4">
        <w:rPr>
          <w:b/>
        </w:rPr>
        <w:t xml:space="preserve">Acuerdo 834 de </w:t>
      </w:r>
      <w:r w:rsidR="00752B1E" w:rsidRPr="00C706E4">
        <w:rPr>
          <w:b/>
        </w:rPr>
        <w:t>2022:</w:t>
      </w:r>
      <w:r w:rsidR="00752B1E" w:rsidRPr="00C706E4">
        <w:t xml:space="preserve"> Por</w:t>
      </w:r>
      <w:r w:rsidRPr="00C706E4">
        <w:t xml:space="preserve"> medio del cual se retoman elementos de la iniciativa de “estrellas negras” para una campaña de seguridad vial, cultura ciudadana y conmemoración de víctimas de siniestros.</w:t>
      </w:r>
    </w:p>
    <w:p w:rsidR="00AD7EEA" w:rsidRPr="00C706E4" w:rsidRDefault="00322AC2">
      <w:pPr>
        <w:spacing w:before="240" w:after="240" w:line="276" w:lineRule="auto"/>
        <w:jc w:val="both"/>
        <w:rPr>
          <w:color w:val="00796B"/>
        </w:rPr>
      </w:pPr>
      <w:r w:rsidRPr="00C706E4">
        <w:rPr>
          <w:b/>
        </w:rPr>
        <w:t xml:space="preserve">Acuerdo 927 de </w:t>
      </w:r>
      <w:r w:rsidR="00752B1E" w:rsidRPr="00C706E4">
        <w:rPr>
          <w:b/>
        </w:rPr>
        <w:t>2024</w:t>
      </w:r>
      <w:r w:rsidR="00752B1E" w:rsidRPr="00C706E4">
        <w:t>: “</w:t>
      </w:r>
      <w:r w:rsidRPr="00C706E4">
        <w:t xml:space="preserve">Por medio del cual se adopta el plan de desarrollo económico, social, ambiental y de obras públicas del distrito capital 2024-2027”. </w:t>
      </w:r>
    </w:p>
    <w:p w:rsidR="00AD7EEA" w:rsidRPr="00C706E4" w:rsidRDefault="00322AC2">
      <w:pPr>
        <w:pBdr>
          <w:top w:val="nil"/>
          <w:left w:val="nil"/>
          <w:bottom w:val="nil"/>
          <w:right w:val="nil"/>
          <w:between w:val="nil"/>
        </w:pBdr>
        <w:spacing w:before="240" w:after="240" w:line="276" w:lineRule="auto"/>
        <w:jc w:val="both"/>
      </w:pPr>
      <w:r w:rsidRPr="00C706E4">
        <w:t xml:space="preserve">El citado acuerdo distrital </w:t>
      </w:r>
      <w:r w:rsidRPr="00C706E4">
        <w:rPr>
          <w:b/>
        </w:rPr>
        <w:t>“Bogotá Camina Segura</w:t>
      </w:r>
      <w:r w:rsidRPr="00C706E4">
        <w:t>”, señala que para lograr una ciudad más segura y con una ciudadanía más consciente y responsable en términos de movilidad. Al incluir el programa “Innovadores Escolares en Seguridad Vial” en los planes de formación de las escuelas, se está asegurando que la seguridad vial sea un valor aprendido desde una edad temprana, contribuyendo así a la reducción de accidentes y a la creación de una cultura de respeto y responsabilidad en las vías.</w:t>
      </w:r>
    </w:p>
    <w:p w:rsidR="00AD7EEA" w:rsidRPr="00C706E4" w:rsidRDefault="00322AC2">
      <w:pPr>
        <w:pBdr>
          <w:top w:val="nil"/>
          <w:left w:val="nil"/>
          <w:bottom w:val="nil"/>
          <w:right w:val="nil"/>
          <w:between w:val="nil"/>
        </w:pBdr>
        <w:spacing w:before="240" w:after="240"/>
        <w:jc w:val="both"/>
        <w:rPr>
          <w:color w:val="00796B"/>
        </w:rPr>
      </w:pPr>
      <w:r w:rsidRPr="00C706E4">
        <w:t>Este enfoque integral y extendido a todos los niveles educativos tiene un gran potencial para transformar la forma en que los niños y jóvenes de Bogotá se relacionan con la seguridad vial y la movilidad, creando así un impacto positivo en la ciudad y en la calidad de vida de sus habitantes</w:t>
      </w:r>
      <w:r w:rsidRPr="00C706E4">
        <w:rPr>
          <w:color w:val="00796B"/>
        </w:rPr>
        <w:t>.</w:t>
      </w:r>
    </w:p>
    <w:p w:rsidR="00AD7EEA" w:rsidRPr="00C706E4" w:rsidRDefault="00322AC2">
      <w:pPr>
        <w:spacing w:before="240" w:after="240"/>
        <w:rPr>
          <w:b/>
          <w:color w:val="000000" w:themeColor="text1"/>
        </w:rPr>
      </w:pPr>
      <w:r w:rsidRPr="00C706E4">
        <w:rPr>
          <w:b/>
          <w:color w:val="000000" w:themeColor="text1"/>
        </w:rPr>
        <w:t>Plan de Desarrollo de Bogotá (POT 2020 - 2024):</w:t>
      </w:r>
    </w:p>
    <w:p w:rsidR="00AD7EEA" w:rsidRPr="00C706E4" w:rsidRDefault="00322AC2">
      <w:pPr>
        <w:spacing w:before="240" w:after="240"/>
        <w:jc w:val="both"/>
      </w:pPr>
      <w:r w:rsidRPr="00C706E4">
        <w:rPr>
          <w:b/>
          <w:color w:val="00796B"/>
        </w:rPr>
        <w:br/>
      </w:r>
      <w:r w:rsidRPr="00C706E4">
        <w:t>Dentro de los lineamientos de desarrollo de la ciudad, se mencionan acciones para mejorar la seguridad en las vías y la promoción de la cultura ciudadana, lo que incluye la educación en seguridad vial. La creación de programas como el de "Innovadores Escolares en Seguridad Vial" está en línea con este enfoque.</w:t>
      </w:r>
    </w:p>
    <w:p w:rsidR="00AD7EEA" w:rsidRPr="00C706E4" w:rsidRDefault="00322AC2" w:rsidP="00556C55">
      <w:pPr>
        <w:pStyle w:val="Prrafodelista"/>
        <w:numPr>
          <w:ilvl w:val="1"/>
          <w:numId w:val="2"/>
        </w:numPr>
        <w:pBdr>
          <w:top w:val="nil"/>
          <w:left w:val="nil"/>
          <w:bottom w:val="nil"/>
          <w:right w:val="nil"/>
          <w:between w:val="nil"/>
        </w:pBdr>
        <w:rPr>
          <w:b/>
        </w:rPr>
      </w:pPr>
      <w:r w:rsidRPr="00C706E4">
        <w:rPr>
          <w:b/>
        </w:rPr>
        <w:t>Constitucional</w:t>
      </w:r>
    </w:p>
    <w:p w:rsidR="00AD7EEA" w:rsidRPr="00C706E4" w:rsidRDefault="00AD7EEA">
      <w:pPr>
        <w:jc w:val="both"/>
        <w:rPr>
          <w:b/>
        </w:rPr>
      </w:pPr>
    </w:p>
    <w:p w:rsidR="00AD7EEA" w:rsidRPr="00C706E4" w:rsidRDefault="00322AC2">
      <w:pPr>
        <w:jc w:val="both"/>
      </w:pPr>
      <w:r w:rsidRPr="00C706E4">
        <w:lastRenderedPageBreak/>
        <w:t>La Constitución Política de Colombia establece varios principios y disposiciones que respaldan la implementación de un modelo de ciudad inteligente como el propuesto para Bogotá. A continuación, algunos artículos relevantes:</w:t>
      </w:r>
    </w:p>
    <w:p w:rsidR="00AD7EEA" w:rsidRPr="00C706E4" w:rsidRDefault="00AD7EEA">
      <w:pPr>
        <w:jc w:val="both"/>
      </w:pPr>
    </w:p>
    <w:p w:rsidR="00AD7EEA" w:rsidRPr="00C706E4" w:rsidRDefault="00322AC2">
      <w:pPr>
        <w:jc w:val="both"/>
      </w:pPr>
      <w:r w:rsidRPr="00C706E4">
        <w:rPr>
          <w:b/>
        </w:rPr>
        <w:t xml:space="preserve">Artículo </w:t>
      </w:r>
      <w:r w:rsidR="00752B1E" w:rsidRPr="00C706E4">
        <w:rPr>
          <w:b/>
        </w:rPr>
        <w:t>2</w:t>
      </w:r>
      <w:r w:rsidR="00752B1E" w:rsidRPr="00C706E4">
        <w:t>:</w:t>
      </w:r>
      <w:r w:rsidRPr="00C706E4">
        <w:t xml:space="preserve">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rsidR="00AD7EEA" w:rsidRPr="00C706E4" w:rsidRDefault="00AD7EEA">
      <w:pPr>
        <w:jc w:val="both"/>
      </w:pPr>
    </w:p>
    <w:p w:rsidR="00AD7EEA" w:rsidRPr="00C706E4" w:rsidRDefault="00322AC2">
      <w:pPr>
        <w:jc w:val="both"/>
        <w:rPr>
          <w:i/>
        </w:rPr>
      </w:pPr>
      <w:r w:rsidRPr="00C706E4">
        <w:rPr>
          <w:b/>
        </w:rPr>
        <w:t xml:space="preserve">Artículo </w:t>
      </w:r>
      <w:r w:rsidR="00752B1E" w:rsidRPr="00C706E4">
        <w:rPr>
          <w:b/>
        </w:rPr>
        <w:t>24</w:t>
      </w:r>
      <w:r w:rsidR="00752B1E" w:rsidRPr="00C706E4">
        <w:t>:</w:t>
      </w:r>
      <w:r w:rsidRPr="00C706E4">
        <w:t xml:space="preserve"> Todo colombiano, con las limitaciones que establezca la ley, tiene derecho a circular libremente por el territorio nacional, a entrar y salir de él, y a permanecer y residenciarse en Colombia.</w:t>
      </w:r>
    </w:p>
    <w:p w:rsidR="00AD7EEA" w:rsidRPr="00C706E4" w:rsidRDefault="00AD7EEA">
      <w:pPr>
        <w:jc w:val="both"/>
        <w:rPr>
          <w:i/>
        </w:rPr>
      </w:pPr>
    </w:p>
    <w:p w:rsidR="00AD7EEA" w:rsidRPr="00C706E4" w:rsidRDefault="00C706E4">
      <w:pPr>
        <w:jc w:val="both"/>
      </w:pPr>
      <w:r>
        <w:rPr>
          <w:b/>
        </w:rPr>
        <w:t>Artículo 44</w:t>
      </w:r>
      <w:r w:rsidR="00322AC2" w:rsidRPr="00C706E4">
        <w:rPr>
          <w:b/>
        </w:rPr>
        <w:t>:</w:t>
      </w:r>
      <w:r w:rsidR="00322AC2" w:rsidRPr="00C706E4">
        <w:t xml:space="preserve"> 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w:t>
      </w:r>
    </w:p>
    <w:p w:rsidR="00752B1E" w:rsidRPr="00C706E4" w:rsidRDefault="00752B1E">
      <w:pPr>
        <w:jc w:val="both"/>
        <w:rPr>
          <w:b/>
        </w:rPr>
      </w:pPr>
    </w:p>
    <w:p w:rsidR="00AD7EEA" w:rsidRPr="00C706E4" w:rsidRDefault="00C706E4">
      <w:pPr>
        <w:jc w:val="both"/>
        <w:rPr>
          <w:i/>
        </w:rPr>
      </w:pPr>
      <w:r>
        <w:rPr>
          <w:b/>
        </w:rPr>
        <w:t xml:space="preserve">Artículo </w:t>
      </w:r>
      <w:r w:rsidR="00322AC2" w:rsidRPr="00C706E4">
        <w:rPr>
          <w:b/>
        </w:rPr>
        <w:t>67</w:t>
      </w:r>
      <w:r w:rsidR="00322AC2" w:rsidRPr="00C706E4">
        <w:t>: La educación es un derecho de la persona y un servicio público que tiene una función social; con ella se busca el acceso al conocimiento, a la ciencia, a la técnica, y a los demás bienes y valores de la cultura.</w:t>
      </w:r>
    </w:p>
    <w:p w:rsidR="00AD7EEA" w:rsidRPr="00C706E4" w:rsidRDefault="00AD7EEA">
      <w:pPr>
        <w:jc w:val="both"/>
        <w:rPr>
          <w:i/>
        </w:rPr>
      </w:pPr>
    </w:p>
    <w:p w:rsidR="00AD7EEA" w:rsidRDefault="00AD7EEA">
      <w:pPr>
        <w:jc w:val="both"/>
        <w:rPr>
          <w:i/>
        </w:rPr>
      </w:pPr>
    </w:p>
    <w:p w:rsidR="00AD7EEA" w:rsidRPr="00C706E4" w:rsidRDefault="00322AC2" w:rsidP="00C706E4">
      <w:pPr>
        <w:pStyle w:val="Prrafodelista"/>
        <w:numPr>
          <w:ilvl w:val="1"/>
          <w:numId w:val="2"/>
        </w:numPr>
        <w:pBdr>
          <w:top w:val="nil"/>
          <w:left w:val="nil"/>
          <w:bottom w:val="nil"/>
          <w:right w:val="nil"/>
          <w:between w:val="nil"/>
        </w:pBdr>
        <w:jc w:val="both"/>
        <w:rPr>
          <w:b/>
        </w:rPr>
      </w:pPr>
      <w:r w:rsidRPr="00C706E4">
        <w:rPr>
          <w:b/>
        </w:rPr>
        <w:t>Internacional</w:t>
      </w:r>
    </w:p>
    <w:p w:rsidR="00AD7EEA" w:rsidRDefault="00AD7EEA">
      <w:pPr>
        <w:pBdr>
          <w:top w:val="nil"/>
          <w:left w:val="nil"/>
          <w:bottom w:val="nil"/>
          <w:right w:val="nil"/>
          <w:between w:val="nil"/>
        </w:pBdr>
        <w:rPr>
          <w:b/>
        </w:rPr>
      </w:pPr>
    </w:p>
    <w:p w:rsidR="00AD7EEA" w:rsidRDefault="00322AC2">
      <w:pPr>
        <w:jc w:val="both"/>
        <w:rPr>
          <w:b/>
        </w:rPr>
      </w:pPr>
      <w:r>
        <w:t>A nivel internacional, diversos países han implementado programas de educación vial en instituciones educativas. Por ejemplo, en España, la Estrategia de Seguridad Vial 2030 establece como objetivo reducir a la mitad el número de personas que fallezcan o resulten heridas graves como resultado de siniestros viales, promoviendo la educación vial desde edades tempranas.</w:t>
      </w:r>
    </w:p>
    <w:p w:rsidR="00AD7EEA" w:rsidRDefault="00322AC2">
      <w:pPr>
        <w:spacing w:before="240" w:after="240"/>
        <w:rPr>
          <w:b/>
        </w:rPr>
      </w:pPr>
      <w:r>
        <w:rPr>
          <w:b/>
        </w:rPr>
        <w:t>Recomendación de la ONU sobre Educación para la Seguridad Vial (2020- 2004):</w:t>
      </w:r>
    </w:p>
    <w:p w:rsidR="00AD7EEA" w:rsidRDefault="00322AC2">
      <w:pPr>
        <w:spacing w:before="240" w:after="240"/>
        <w:jc w:val="both"/>
      </w:pPr>
      <w:r>
        <w:t xml:space="preserve">Este documento de la Organización Mundial de la Salud (OMS) establece lineamientos para la promoción de la seguridad vial, en los cuales se subraya la </w:t>
      </w:r>
      <w:r>
        <w:lastRenderedPageBreak/>
        <w:t>importancia de las iniciativas educativas en las escuelas como una de las formas más efectivas de promover la seguridad vial desde edades tempranas.</w:t>
      </w:r>
    </w:p>
    <w:p w:rsidR="00AD7EEA" w:rsidRDefault="00322AC2">
      <w:pPr>
        <w:spacing w:before="240" w:after="240"/>
        <w:jc w:val="both"/>
      </w:pPr>
      <w:r>
        <w:t>Se proclama el Decenio de Acción por la Seguridad Vial (2011-2020):   objetivo de estabilizar y después reducir las muertes por accidentes viales al 2020</w:t>
      </w:r>
    </w:p>
    <w:p w:rsidR="00AD7EEA" w:rsidRDefault="00322AC2">
      <w:pPr>
        <w:jc w:val="both"/>
      </w:pPr>
      <w:r>
        <w:t>Proclama el Segundo Decenio de Acción por la Seguridad Vial (2021-2030):</w:t>
      </w:r>
    </w:p>
    <w:p w:rsidR="00AD7EEA" w:rsidRDefault="00AD7EEA">
      <w:pPr>
        <w:jc w:val="both"/>
      </w:pPr>
    </w:p>
    <w:p w:rsidR="00AD7EEA" w:rsidRDefault="00322AC2">
      <w:pPr>
        <w:jc w:val="both"/>
      </w:pPr>
      <w:r>
        <w:t>Objetivo: prevenir al menos el 50% de las muertes y lesiones en el tránsito para 2039</w:t>
      </w:r>
    </w:p>
    <w:p w:rsidR="00AD7EEA" w:rsidRDefault="00AD7EEA">
      <w:pPr>
        <w:rPr>
          <w:b/>
          <w:i/>
        </w:rPr>
      </w:pPr>
    </w:p>
    <w:p w:rsidR="00AD7EEA" w:rsidRDefault="00322AC2">
      <w:pPr>
        <w:ind w:left="720"/>
        <w:rPr>
          <w:i/>
        </w:rPr>
      </w:pPr>
      <w:r>
        <w:rPr>
          <w:i/>
        </w:rPr>
        <w:t xml:space="preserve"> ￼Hasta la fecha, no se han registrado modificaciones al artículo 1 de este acuerdo. Sin embargo, es recomendable consultar fuentes oficiales, como la Secretaría de Movilidad de Bogotá o el Concejo de Bogotá, para obtener información actualizada sobre posibles cambios normativos.</w:t>
      </w:r>
    </w:p>
    <w:p w:rsidR="00AD7EEA" w:rsidRDefault="00AD7EEA">
      <w:pPr>
        <w:ind w:left="720"/>
        <w:rPr>
          <w:i/>
        </w:rPr>
      </w:pPr>
    </w:p>
    <w:p w:rsidR="00AD7EEA" w:rsidRDefault="00322AC2">
      <w:r>
        <w:t>En relación con los Objetivos de Desarrollo Sostenible (ODS), la seguridad vial se vincula principalmente con:</w:t>
      </w:r>
    </w:p>
    <w:p w:rsidR="00AD7EEA" w:rsidRDefault="00AD7EEA"/>
    <w:p w:rsidR="00AD7EEA" w:rsidRDefault="00322AC2">
      <w:pPr>
        <w:jc w:val="both"/>
      </w:pPr>
      <w:r>
        <w:tab/>
        <w:t>•</w:t>
      </w:r>
      <w:r>
        <w:tab/>
      </w:r>
      <w:r>
        <w:rPr>
          <w:b/>
        </w:rPr>
        <w:t>ODS 3:</w:t>
      </w:r>
      <w:r>
        <w:t xml:space="preserve"> Salud y Bienestar: Busca garantizar una vida sana y promover el bienestar para todos en todas las edades. Una de sus metas es, para 2020, reducir a la mitad el número de muertes y lesiones causadas por accidentes de tráfico en el mundo.  ￼</w:t>
      </w:r>
    </w:p>
    <w:p w:rsidR="00AD7EEA" w:rsidRDefault="00AD7EEA">
      <w:pPr>
        <w:jc w:val="both"/>
      </w:pPr>
    </w:p>
    <w:p w:rsidR="00AD7EEA" w:rsidRDefault="00322AC2">
      <w:pPr>
        <w:pBdr>
          <w:top w:val="nil"/>
          <w:left w:val="nil"/>
          <w:bottom w:val="nil"/>
          <w:right w:val="nil"/>
          <w:between w:val="nil"/>
        </w:pBdr>
        <w:jc w:val="both"/>
        <w:rPr>
          <w:i/>
        </w:rPr>
      </w:pPr>
      <w:r>
        <w:tab/>
        <w:t>•</w:t>
      </w:r>
      <w:r>
        <w:tab/>
      </w:r>
      <w:r>
        <w:rPr>
          <w:b/>
        </w:rPr>
        <w:t>ODS 11</w:t>
      </w:r>
      <w:r>
        <w:t>: Ciudades y Comunidades Sostenibles: Pretende lograr que las ciudades y los asentamientos humanos sean inclusivos, seguros, resilientes y sostenibles. Incluye la meta de proporcionar acceso a sistemas de transporte seguros, asequibles, accesibles y sostenibles para todos, mejorando la seguridad vial.  ￼</w:t>
      </w:r>
    </w:p>
    <w:p w:rsidR="00AD7EEA" w:rsidRDefault="00AD7EEA">
      <w:pPr>
        <w:rPr>
          <w:i/>
        </w:rPr>
      </w:pPr>
    </w:p>
    <w:p w:rsidR="00AD7EEA" w:rsidRDefault="00322AC2">
      <w:pPr>
        <w:spacing w:before="240" w:after="240"/>
        <w:rPr>
          <w:b/>
        </w:rPr>
      </w:pPr>
      <w:r>
        <w:rPr>
          <w:b/>
        </w:rPr>
        <w:t>Declaración de Estocolmo sobre Seguridad Vial (1962):</w:t>
      </w:r>
    </w:p>
    <w:p w:rsidR="00AD7EEA" w:rsidRPr="00A55E4A" w:rsidRDefault="00322AC2" w:rsidP="00A55E4A">
      <w:pPr>
        <w:spacing w:before="240" w:after="240"/>
        <w:rPr>
          <w:b/>
        </w:rPr>
      </w:pPr>
      <w:r>
        <w:br/>
        <w:t>Esta declaración, adoptada por la Asamblea General de las Naciones Unidas, fue uno de los primeros pasos hacia la consideración internacional de la seguridad vial como un tema global. En ella se reconoció la importancia de la educación en seguridad vial como una herramienta clave para reducir los accidentes de tráfico, especialmente entre los niños.</w:t>
      </w:r>
    </w:p>
    <w:p w:rsidR="00AD7EEA" w:rsidRPr="00C706E4" w:rsidRDefault="00AD7EEA">
      <w:pPr>
        <w:jc w:val="center"/>
      </w:pPr>
    </w:p>
    <w:p w:rsidR="00AD7EEA" w:rsidRPr="00C706E4" w:rsidRDefault="00A55E4A" w:rsidP="00C706E4">
      <w:pPr>
        <w:numPr>
          <w:ilvl w:val="0"/>
          <w:numId w:val="2"/>
        </w:numPr>
        <w:pBdr>
          <w:top w:val="nil"/>
          <w:left w:val="nil"/>
          <w:bottom w:val="nil"/>
          <w:right w:val="nil"/>
          <w:between w:val="nil"/>
        </w:pBdr>
        <w:rPr>
          <w:b/>
        </w:rPr>
      </w:pPr>
      <w:r w:rsidRPr="00C706E4">
        <w:rPr>
          <w:b/>
        </w:rPr>
        <w:t>Competencia Del Concejo De Bogotá</w:t>
      </w:r>
    </w:p>
    <w:p w:rsidR="00AD7EEA" w:rsidRDefault="00AD7EEA">
      <w:pPr>
        <w:ind w:left="420"/>
        <w:jc w:val="both"/>
        <w:rPr>
          <w:b/>
          <w:sz w:val="22"/>
          <w:szCs w:val="22"/>
        </w:rPr>
      </w:pPr>
    </w:p>
    <w:p w:rsidR="00AD7EEA" w:rsidRDefault="00322AC2">
      <w:pPr>
        <w:spacing w:after="24" w:line="267" w:lineRule="auto"/>
        <w:jc w:val="both"/>
      </w:pPr>
      <w:r>
        <w:t>El Concejo de Bogotá, D.C., es competente para dictar el presente acuerdo, apoyado en las disposiciones del Decreto Ley 1421 de 1993, Estatuto Orgánico del Distrito Capital, así:</w:t>
      </w:r>
    </w:p>
    <w:p w:rsidR="00AD7EEA" w:rsidRDefault="00322AC2">
      <w:pPr>
        <w:spacing w:after="24" w:line="267" w:lineRule="auto"/>
        <w:jc w:val="both"/>
      </w:pPr>
      <w:r>
        <w:t xml:space="preserve"> </w:t>
      </w:r>
    </w:p>
    <w:p w:rsidR="00AD7EEA" w:rsidRDefault="00322AC2">
      <w:pPr>
        <w:spacing w:after="24" w:line="267" w:lineRule="auto"/>
        <w:jc w:val="both"/>
      </w:pPr>
      <w:r>
        <w:t xml:space="preserve">El Decreto Ley 1421 de 1993 en su artículo 12 numeral 1º: "Dictar las normas necesarias para garantizar el adecuado cumplimiento de las funciones y la eficiente prestación de servicios a cargo del Distrito". Es importante expresar que hay sentencias que han señalado que durante el trámite normativo puede presentarse el aval que subsane la competencia de los concejales para presentar asuntos que pueden ser restringidos al gobierno distrital. </w:t>
      </w:r>
    </w:p>
    <w:p w:rsidR="00AD7EEA" w:rsidRDefault="00AD7EEA">
      <w:pPr>
        <w:spacing w:after="24" w:line="267" w:lineRule="auto"/>
        <w:jc w:val="both"/>
      </w:pPr>
    </w:p>
    <w:p w:rsidR="00AD7EEA" w:rsidRDefault="00322AC2">
      <w:pPr>
        <w:spacing w:after="24" w:line="267" w:lineRule="auto"/>
        <w:jc w:val="both"/>
      </w:pPr>
      <w:r>
        <w:t>La Sentencia C-066 de 2018, MP Cristina Pardo Schlesinger. Sobre este particular, en Sentencia C-322 de 2017 (MP Antonio José Lizarazo Ocampo), la Corte precisó que:</w:t>
      </w:r>
    </w:p>
    <w:p w:rsidR="00AD7EEA" w:rsidRDefault="00AD7EEA">
      <w:pPr>
        <w:spacing w:after="24" w:line="267" w:lineRule="auto"/>
        <w:jc w:val="both"/>
      </w:pPr>
    </w:p>
    <w:p w:rsidR="00AD7EEA" w:rsidRDefault="00322AC2">
      <w:pPr>
        <w:spacing w:after="24" w:line="267" w:lineRule="auto"/>
        <w:jc w:val="both"/>
        <w:rPr>
          <w:i/>
        </w:rPr>
      </w:pPr>
      <w:r>
        <w:t xml:space="preserve">“En las materias sujetas a iniciativa privativa o exclusiva del Gobierno Nacional, el aval opera como una forma de activación del proceso legislativo o como una manifestación especial de consentimiento respecto de un asunto que se inició sin su previa aquiescencia, sin que, por su propia naturaleza, tenga la posibilidad de excluir el carácter autónomo del ejercicio deliberativo del Congreso, en lo que respecta a la configuración de las materias sujetas a su aprobación, en donde caben las adiciones, supresiones o modificaciones que se estimen pertinentes, con la única carga, no sujeta a un control específico del ejecutivo para su aprobación, de no alterar de forma sustancial la iniciativa, esto es, de dar trámite a una regulación radicalmente distinta a la propuesta. De esta manera, la iniciativa abre el espacio de deliberación y aprobación congresional, en materias específicas y claramente delimitadas por la Constitución, sin alterar la esencia de la autonomía parlamentaria y con una única limitante relativa a la custodia de la estructura sustancial del proyecto, cuya verificación no se sujeta a la capacidad decisoria del ejecutivo, sino, eventualmente, a un examen de constitucionalidad a través de los mecanismos ordinarios previstos en la Carta.” También se puede consultar la Sentencia C-838 de 2008, MP Marco Gerardo Monroy Cabra. (Subrayado propio).  </w:t>
      </w:r>
    </w:p>
    <w:p w:rsidR="00AD7EEA" w:rsidRDefault="00AD7EEA">
      <w:pPr>
        <w:jc w:val="center"/>
        <w:rPr>
          <w:sz w:val="22"/>
          <w:szCs w:val="22"/>
        </w:rPr>
      </w:pPr>
    </w:p>
    <w:p w:rsidR="00AD7EEA" w:rsidRPr="00404557" w:rsidRDefault="005E4D7E" w:rsidP="00C706E4">
      <w:pPr>
        <w:pStyle w:val="Prrafodelista"/>
        <w:numPr>
          <w:ilvl w:val="0"/>
          <w:numId w:val="2"/>
        </w:numPr>
        <w:pBdr>
          <w:top w:val="nil"/>
          <w:left w:val="nil"/>
          <w:bottom w:val="nil"/>
          <w:right w:val="nil"/>
          <w:between w:val="nil"/>
        </w:pBdr>
        <w:spacing w:after="24" w:line="267" w:lineRule="auto"/>
        <w:rPr>
          <w:b/>
          <w:sz w:val="22"/>
          <w:szCs w:val="22"/>
        </w:rPr>
      </w:pPr>
      <w:r w:rsidRPr="00404557">
        <w:rPr>
          <w:b/>
          <w:sz w:val="22"/>
          <w:szCs w:val="22"/>
        </w:rPr>
        <w:t>Impacto Fiscal</w:t>
      </w:r>
    </w:p>
    <w:p w:rsidR="00AD7EEA" w:rsidRDefault="00AD7EEA" w:rsidP="00A55E4A">
      <w:pPr>
        <w:pBdr>
          <w:top w:val="nil"/>
          <w:left w:val="nil"/>
          <w:bottom w:val="nil"/>
          <w:right w:val="nil"/>
          <w:between w:val="nil"/>
        </w:pBdr>
        <w:ind w:left="720"/>
        <w:jc w:val="both"/>
        <w:rPr>
          <w:sz w:val="20"/>
          <w:szCs w:val="20"/>
        </w:rPr>
      </w:pPr>
    </w:p>
    <w:p w:rsidR="00AD7EEA" w:rsidRDefault="00322AC2" w:rsidP="00A55E4A">
      <w:pPr>
        <w:jc w:val="both"/>
      </w:pPr>
      <w:r>
        <w:t xml:space="preserve">El autor afirma que de conformidad con el artículo 7 de la Ley 819 de 2003, la presente iniciativa </w:t>
      </w:r>
      <w:r w:rsidRPr="00752B1E">
        <w:rPr>
          <w:b/>
          <w:u w:val="single"/>
        </w:rPr>
        <w:t>no genera</w:t>
      </w:r>
      <w:r>
        <w:t xml:space="preserve"> un impacto fiscal que implique una modificación en el marco fiscal de mediano plazo, teniendo en cuenta que no se incrementará el presupuesto del Distrito, ni  ocasionará la creación de una nueva fuente de financiación. Las medidas a adoptar deberán ser financiadas con el presupuesto de las entidades pertinentes.</w:t>
      </w:r>
    </w:p>
    <w:p w:rsidR="00AD7EEA" w:rsidRDefault="00AD7EEA"/>
    <w:p w:rsidR="00AD7EEA" w:rsidRDefault="00322AC2">
      <w:r>
        <w:t>Además, el Artículo 7 de la Ley 819 de 2003, estableció:</w:t>
      </w:r>
    </w:p>
    <w:p w:rsidR="00AD7EEA" w:rsidRDefault="00AD7EEA"/>
    <w:p w:rsidR="00AD7EEA" w:rsidRDefault="00322AC2">
      <w:pPr>
        <w:pBdr>
          <w:top w:val="nil"/>
          <w:left w:val="nil"/>
          <w:bottom w:val="nil"/>
          <w:right w:val="nil"/>
          <w:between w:val="nil"/>
        </w:pBdr>
        <w:ind w:left="720"/>
        <w:jc w:val="both"/>
      </w:pPr>
      <w:r w:rsidRPr="00A55E4A">
        <w:rPr>
          <w:sz w:val="22"/>
          <w:szCs w:val="22"/>
        </w:rPr>
        <w:t>“Artículo 7º. Análisis del impacto fiscal de las normas. En todo momento, el impacto fiscal de cualquier proyecto de ley, ordenanza o acuerdo, que ordene gasto o que otorgue beneficios tributarios, deberá hacerse explícito y deberá ser compatible con el Marco Fiscal de Mediano Plazo. Para estos propósitos, deberá incluirse expresamente en la exposición de motivos y en las ponencias de trámite respectivas los costos fiscales de la iniciativa y la fuente de ingreso adicional generada para el financiamiento de dicho costo</w:t>
      </w:r>
      <w:r>
        <w:t>”</w:t>
      </w:r>
    </w:p>
    <w:p w:rsidR="00AD7EEA" w:rsidRDefault="00AD7EEA">
      <w:pPr>
        <w:pBdr>
          <w:top w:val="nil"/>
          <w:left w:val="nil"/>
          <w:bottom w:val="nil"/>
          <w:right w:val="nil"/>
          <w:between w:val="nil"/>
        </w:pBdr>
        <w:ind w:left="720"/>
        <w:jc w:val="both"/>
      </w:pPr>
    </w:p>
    <w:p w:rsidR="00AD7EEA" w:rsidRDefault="00322AC2">
      <w:pPr>
        <w:jc w:val="both"/>
      </w:pPr>
      <w:r>
        <w:t>Considerando lo establecido en el artículo 7 de la ley 819 de 2003, la ejecución del presente proyecto no implica costos presupuestales que afectan las finanzas del Distrito en el marco fiscal de mediano plazo, dado, que no se asignan apropiaciones presupuestales diferentes a las inherentes al desarrollo de las funciones ya existentes de las entidades enunciadas.</w:t>
      </w:r>
    </w:p>
    <w:p w:rsidR="00AD7EEA" w:rsidRDefault="00AD7EEA">
      <w:pPr>
        <w:jc w:val="both"/>
        <w:rPr>
          <w:b/>
          <w:sz w:val="22"/>
          <w:szCs w:val="22"/>
        </w:rPr>
      </w:pPr>
    </w:p>
    <w:p w:rsidR="00AD7EEA" w:rsidRPr="00C706E4" w:rsidRDefault="005E4D7E" w:rsidP="00C706E4">
      <w:pPr>
        <w:numPr>
          <w:ilvl w:val="0"/>
          <w:numId w:val="2"/>
        </w:numPr>
        <w:pBdr>
          <w:top w:val="nil"/>
          <w:left w:val="nil"/>
          <w:bottom w:val="nil"/>
          <w:right w:val="nil"/>
          <w:between w:val="nil"/>
        </w:pBdr>
        <w:rPr>
          <w:b/>
        </w:rPr>
      </w:pPr>
      <w:r w:rsidRPr="00C706E4">
        <w:rPr>
          <w:b/>
        </w:rPr>
        <w:t>Consideraciones De Los Ponentes</w:t>
      </w:r>
    </w:p>
    <w:p w:rsidR="00AD7EEA" w:rsidRDefault="00AD7EEA">
      <w:pPr>
        <w:ind w:left="266"/>
      </w:pPr>
    </w:p>
    <w:p w:rsidR="00AD7EEA" w:rsidRDefault="00AD7EEA">
      <w:pPr>
        <w:pBdr>
          <w:top w:val="nil"/>
          <w:left w:val="nil"/>
          <w:bottom w:val="nil"/>
          <w:right w:val="nil"/>
          <w:between w:val="nil"/>
        </w:pBdr>
        <w:ind w:right="124"/>
        <w:jc w:val="both"/>
        <w:rPr>
          <w:sz w:val="22"/>
          <w:szCs w:val="22"/>
        </w:rPr>
      </w:pPr>
    </w:p>
    <w:p w:rsidR="00AD7EEA" w:rsidRDefault="00322AC2">
      <w:pPr>
        <w:jc w:val="both"/>
      </w:pPr>
      <w:r>
        <w:t>El presente</w:t>
      </w:r>
      <w:r>
        <w:rPr>
          <w:b/>
        </w:rPr>
        <w:t xml:space="preserve"> </w:t>
      </w:r>
      <w:r>
        <w:t>Acuerdo 191 de 2025 “</w:t>
      </w:r>
      <w:r w:rsidR="008F4626">
        <w:rPr>
          <w:b/>
          <w:i/>
        </w:rPr>
        <w:t>Por el cual se modifica parcialmente el Acuerdo 650 del 2016 y se dictan otras disposiciones</w:t>
      </w:r>
      <w:r>
        <w:rPr>
          <w:i/>
        </w:rPr>
        <w:t xml:space="preserve">”, </w:t>
      </w:r>
      <w:r>
        <w:t>iniciativa que modificará parc</w:t>
      </w:r>
      <w:r w:rsidR="008F4626">
        <w:t xml:space="preserve">ialmente el articulado del </w:t>
      </w:r>
      <w:r>
        <w:t xml:space="preserve">Acuerdo 650 de 2016 del Concejo de Bogotá, que creó el programa </w:t>
      </w:r>
      <w:r>
        <w:rPr>
          <w:b/>
          <w:i/>
        </w:rPr>
        <w:t>“Innovadores Escolares en Seguridad Vial</w:t>
      </w:r>
      <w:r>
        <w:t>”, dio un paso fundamental hacia la construcción de una cultura de seguridad vial entre los estudiantes de nuestra ciudad. Este programa, inicialmente dirigido a los niveles de educación básica, ha demostrado ser un pilar crucial en la formación de nuestros niños y jóvenes, promoviendo prácticas seguras y responsables en las vías.</w:t>
      </w:r>
    </w:p>
    <w:p w:rsidR="00AD7EEA" w:rsidRDefault="00322AC2">
      <w:pPr>
        <w:spacing w:before="240" w:after="240"/>
        <w:jc w:val="both"/>
      </w:pPr>
      <w:r>
        <w:lastRenderedPageBreak/>
        <w:t xml:space="preserve">Con el Proyecto de Acuerdo 191 de 2025, que extiende este programa a los </w:t>
      </w:r>
      <w:r w:rsidR="00A55E4A" w:rsidRPr="00A55E4A">
        <w:t>Colegios Públicos y Privados y de los Jardines del Distrito</w:t>
      </w:r>
      <w:r w:rsidR="00A55E4A">
        <w:rPr>
          <w:b/>
          <w:i/>
        </w:rPr>
        <w:t xml:space="preserve">, </w:t>
      </w:r>
      <w:r>
        <w:t>que deseen participar, toda vez que con la implementación estamos dando un paso aún más grande hacia la consolidación de una comunidad escolar más segura y consciente. Esta ampliación no solo beneficiará a una mayor cantidad de estudiantes, sino que asegura que la educación en seguridad vial sea un derecho accesible para todos los niños, sin importar el nivel educativo o la institución a la que pertenezcan.</w:t>
      </w:r>
    </w:p>
    <w:p w:rsidR="00AD7EEA" w:rsidRDefault="00322AC2">
      <w:pPr>
        <w:spacing w:before="240" w:after="240"/>
        <w:jc w:val="both"/>
      </w:pPr>
      <w:r>
        <w:t>La ampliación de este acuerdo refleja un compromiso profundo con la formación integral de nuestras futuras generaciones, fomentando no solo el conocimiento sobre seguridad vial, sino también valores como la responsabilidad, el respeto y la conciencia cívica. Estos principios son esenciales para formar ciudadanos comprometidos con su seguridad y con la de los demás.</w:t>
      </w:r>
    </w:p>
    <w:p w:rsidR="00AD7EEA" w:rsidRDefault="00322AC2">
      <w:pPr>
        <w:spacing w:before="240" w:after="240"/>
        <w:jc w:val="both"/>
      </w:pPr>
      <w:r>
        <w:t>Además, la creación de un programa específico para “Innovadores Escolares en Seguridad Vial” representa una apuesta por la innovación educativa, integrando contenidos relevantes que, además de promover la seguridad, fortalecerán el pensamiento crítico y la participación activa de los estudiantes en la prevención de accidentes viales, tanto dentro como fuera del entorno escolar.</w:t>
      </w:r>
    </w:p>
    <w:p w:rsidR="00AD7EEA" w:rsidRDefault="00322AC2">
      <w:pPr>
        <w:spacing w:before="240" w:after="240"/>
        <w:jc w:val="both"/>
      </w:pPr>
      <w:r>
        <w:t>En consecuencia, como Concejales de Bogotá, valoramos y apoyamos esta iniciativa de forma decidida, reconociendo la importancia de actualizar y fortalecer los programas de seguridad vial en todos los niveles educativos del Distrito Capital. Esta es una muestra clara del compromiso de la ciudad con el bienestar y la protección de nuestra comunidad escolar, contribuyendo a la formación de una sociedad más segura, responsable y consciente.</w:t>
      </w:r>
    </w:p>
    <w:p w:rsidR="00AD7EEA" w:rsidRDefault="00AD7EEA">
      <w:pPr>
        <w:rPr>
          <w:b/>
          <w:sz w:val="22"/>
          <w:szCs w:val="22"/>
        </w:rPr>
      </w:pPr>
    </w:p>
    <w:p w:rsidR="00AD7EEA" w:rsidRPr="008F4626" w:rsidRDefault="00A55E4A" w:rsidP="00C706E4">
      <w:pPr>
        <w:pStyle w:val="Prrafodelista"/>
        <w:numPr>
          <w:ilvl w:val="0"/>
          <w:numId w:val="2"/>
        </w:numPr>
        <w:rPr>
          <w:b/>
        </w:rPr>
      </w:pPr>
      <w:r w:rsidRPr="008F4626">
        <w:rPr>
          <w:b/>
        </w:rPr>
        <w:t>Conclusiones</w:t>
      </w:r>
    </w:p>
    <w:p w:rsidR="00AD7EEA" w:rsidRDefault="00AD7EEA">
      <w:pPr>
        <w:ind w:left="360"/>
        <w:jc w:val="center"/>
        <w:rPr>
          <w:b/>
          <w:sz w:val="22"/>
          <w:szCs w:val="22"/>
        </w:rPr>
      </w:pPr>
    </w:p>
    <w:p w:rsidR="00AD7EEA" w:rsidRDefault="00AD7EEA">
      <w:pPr>
        <w:spacing w:line="276" w:lineRule="auto"/>
        <w:jc w:val="both"/>
        <w:rPr>
          <w:sz w:val="22"/>
          <w:szCs w:val="22"/>
        </w:rPr>
      </w:pPr>
    </w:p>
    <w:p w:rsidR="00AD7EEA" w:rsidRPr="005E4D7E" w:rsidRDefault="00322AC2" w:rsidP="00A55E4A">
      <w:pPr>
        <w:jc w:val="both"/>
      </w:pPr>
      <w:r w:rsidRPr="005E4D7E">
        <w:t>Teniendo en cuenta las consideraciones previas expresadas, rendimos “</w:t>
      </w:r>
      <w:r w:rsidRPr="00A55E4A">
        <w:t xml:space="preserve">PONENCIA </w:t>
      </w:r>
      <w:r w:rsidRPr="00A55E4A">
        <w:rPr>
          <w:b/>
        </w:rPr>
        <w:t>CONJUNTA POSITIVA</w:t>
      </w:r>
      <w:r w:rsidRPr="00A55E4A">
        <w:t>”</w:t>
      </w:r>
      <w:r w:rsidRPr="005E4D7E">
        <w:t xml:space="preserve"> al Proyecto de Acuerdo N° 191 de 2025 “</w:t>
      </w:r>
      <w:r w:rsidR="008F4626" w:rsidRPr="000509A4">
        <w:rPr>
          <w:b/>
        </w:rPr>
        <w:t>POR EL CUAL SE MODIFICA PARCIALMENTE EL ACUERDO 650 DEL 2016 Y SE DICTAN OTRAS DISPOSICIONES</w:t>
      </w:r>
      <w:r w:rsidRPr="005E4D7E">
        <w:t xml:space="preserve">” en los planes de formación en seguridad vial escolar en el Distrito Capital”, </w:t>
      </w:r>
    </w:p>
    <w:p w:rsidR="00AD7EEA" w:rsidRDefault="00AD7EEA">
      <w:pPr>
        <w:spacing w:line="276" w:lineRule="auto"/>
        <w:jc w:val="both"/>
        <w:rPr>
          <w:i/>
          <w:sz w:val="22"/>
          <w:szCs w:val="22"/>
        </w:rPr>
      </w:pPr>
    </w:p>
    <w:p w:rsidR="00AD7EEA" w:rsidRPr="008F4626" w:rsidRDefault="00322AC2">
      <w:pPr>
        <w:spacing w:line="276" w:lineRule="auto"/>
        <w:jc w:val="both"/>
      </w:pPr>
      <w:r w:rsidRPr="008F4626">
        <w:t xml:space="preserve">Cordialmente, </w:t>
      </w:r>
    </w:p>
    <w:p w:rsidR="00AD7EEA" w:rsidRDefault="00AD7EEA">
      <w:pPr>
        <w:jc w:val="both"/>
        <w:rPr>
          <w:sz w:val="22"/>
          <w:szCs w:val="22"/>
        </w:rPr>
      </w:pPr>
    </w:p>
    <w:p w:rsidR="002D4CCC" w:rsidRDefault="002D4CCC" w:rsidP="00AD3DFD">
      <w:pPr>
        <w:jc w:val="both"/>
        <w:rPr>
          <w:sz w:val="22"/>
          <w:szCs w:val="22"/>
        </w:rPr>
      </w:pPr>
    </w:p>
    <w:p w:rsidR="009C2CBD" w:rsidRDefault="009C2CBD" w:rsidP="00AD3DFD">
      <w:pPr>
        <w:jc w:val="both"/>
        <w:rPr>
          <w:sz w:val="22"/>
          <w:szCs w:val="22"/>
        </w:rPr>
      </w:pPr>
    </w:p>
    <w:p w:rsidR="009C2CBD" w:rsidRDefault="009C2CBD" w:rsidP="00AD3DFD">
      <w:pPr>
        <w:jc w:val="both"/>
        <w:rPr>
          <w:sz w:val="22"/>
          <w:szCs w:val="22"/>
        </w:rPr>
      </w:pPr>
    </w:p>
    <w:p w:rsidR="002D4CCC" w:rsidRDefault="002D4CCC" w:rsidP="00AD3DFD">
      <w:pPr>
        <w:jc w:val="both"/>
        <w:rPr>
          <w:sz w:val="22"/>
          <w:szCs w:val="22"/>
        </w:rPr>
      </w:pPr>
    </w:p>
    <w:p w:rsidR="002D4CCC" w:rsidRDefault="002D4CCC" w:rsidP="00AD3DFD">
      <w:pPr>
        <w:jc w:val="both"/>
        <w:rPr>
          <w:sz w:val="22"/>
          <w:szCs w:val="22"/>
        </w:rPr>
      </w:pPr>
    </w:p>
    <w:p w:rsidR="00AD3DFD" w:rsidRDefault="00AD3DFD" w:rsidP="00AD3DFD">
      <w:pPr>
        <w:jc w:val="both"/>
        <w:rPr>
          <w:b/>
          <w:sz w:val="22"/>
          <w:szCs w:val="22"/>
        </w:rPr>
      </w:pPr>
      <w:r>
        <w:rPr>
          <w:b/>
          <w:sz w:val="22"/>
          <w:szCs w:val="22"/>
        </w:rPr>
        <w:t xml:space="preserve">ANDRÉS DARÍO ONZAGA                                          </w:t>
      </w:r>
      <w:r w:rsidR="008F4626">
        <w:rPr>
          <w:b/>
          <w:sz w:val="22"/>
          <w:szCs w:val="22"/>
        </w:rPr>
        <w:t>ARMANDO GUTIÉ</w:t>
      </w:r>
      <w:r>
        <w:rPr>
          <w:b/>
          <w:sz w:val="22"/>
          <w:szCs w:val="22"/>
        </w:rPr>
        <w:t>RREZ</w:t>
      </w:r>
      <w:r w:rsidR="008F4626">
        <w:rPr>
          <w:b/>
          <w:sz w:val="22"/>
          <w:szCs w:val="22"/>
        </w:rPr>
        <w:t xml:space="preserve"> GONZÁLEZ</w:t>
      </w:r>
    </w:p>
    <w:p w:rsidR="00AD3DFD" w:rsidRDefault="00AD3DFD" w:rsidP="00AD3DFD">
      <w:pPr>
        <w:jc w:val="both"/>
        <w:rPr>
          <w:sz w:val="22"/>
          <w:szCs w:val="22"/>
        </w:rPr>
      </w:pPr>
      <w:r>
        <w:rPr>
          <w:sz w:val="22"/>
          <w:szCs w:val="22"/>
        </w:rPr>
        <w:t>H. Concejal de Bogotá</w:t>
      </w:r>
      <w:r>
        <w:rPr>
          <w:sz w:val="22"/>
          <w:szCs w:val="22"/>
        </w:rPr>
        <w:tab/>
      </w:r>
      <w:r>
        <w:rPr>
          <w:sz w:val="22"/>
          <w:szCs w:val="22"/>
        </w:rPr>
        <w:tab/>
      </w:r>
      <w:r>
        <w:rPr>
          <w:sz w:val="22"/>
          <w:szCs w:val="22"/>
        </w:rPr>
        <w:tab/>
      </w:r>
      <w:r>
        <w:rPr>
          <w:sz w:val="22"/>
          <w:szCs w:val="22"/>
        </w:rPr>
        <w:tab/>
        <w:t>H. Concejal de Bogotá</w:t>
      </w:r>
      <w:r>
        <w:rPr>
          <w:sz w:val="22"/>
          <w:szCs w:val="22"/>
        </w:rPr>
        <w:tab/>
      </w:r>
    </w:p>
    <w:p w:rsidR="00AD3DFD" w:rsidRDefault="00AD3DFD" w:rsidP="00AD3DFD">
      <w:pPr>
        <w:jc w:val="both"/>
        <w:rPr>
          <w:sz w:val="22"/>
          <w:szCs w:val="22"/>
        </w:rPr>
      </w:pPr>
      <w:r>
        <w:rPr>
          <w:sz w:val="22"/>
          <w:szCs w:val="22"/>
        </w:rPr>
        <w:t>Coordinador Ponente</w:t>
      </w:r>
      <w:r>
        <w:rPr>
          <w:sz w:val="22"/>
          <w:szCs w:val="22"/>
        </w:rPr>
        <w:tab/>
      </w:r>
      <w:r>
        <w:rPr>
          <w:sz w:val="22"/>
          <w:szCs w:val="22"/>
        </w:rPr>
        <w:tab/>
      </w:r>
      <w:r>
        <w:rPr>
          <w:sz w:val="22"/>
          <w:szCs w:val="22"/>
        </w:rPr>
        <w:tab/>
      </w:r>
      <w:r>
        <w:rPr>
          <w:sz w:val="22"/>
          <w:szCs w:val="22"/>
        </w:rPr>
        <w:tab/>
      </w:r>
      <w:r w:rsidR="008F4626">
        <w:rPr>
          <w:sz w:val="22"/>
          <w:szCs w:val="22"/>
        </w:rPr>
        <w:t xml:space="preserve">            </w:t>
      </w:r>
      <w:r>
        <w:rPr>
          <w:sz w:val="22"/>
          <w:szCs w:val="22"/>
        </w:rPr>
        <w:t>Ponente</w:t>
      </w:r>
    </w:p>
    <w:p w:rsidR="00AD7EEA" w:rsidRDefault="00AD7EEA">
      <w:pPr>
        <w:jc w:val="both"/>
        <w:rPr>
          <w:sz w:val="22"/>
          <w:szCs w:val="22"/>
        </w:rPr>
      </w:pPr>
    </w:p>
    <w:p w:rsidR="00AD7EEA" w:rsidRDefault="00AD7EEA">
      <w:pPr>
        <w:jc w:val="both"/>
        <w:rPr>
          <w:sz w:val="22"/>
          <w:szCs w:val="22"/>
        </w:rPr>
      </w:pPr>
    </w:p>
    <w:p w:rsidR="005D0684" w:rsidRDefault="005D0684">
      <w:pPr>
        <w:jc w:val="both"/>
        <w:rPr>
          <w:sz w:val="22"/>
          <w:szCs w:val="22"/>
        </w:rPr>
      </w:pPr>
    </w:p>
    <w:p w:rsidR="005D0684" w:rsidRDefault="005D0684">
      <w:pPr>
        <w:jc w:val="both"/>
        <w:rPr>
          <w:sz w:val="22"/>
          <w:szCs w:val="22"/>
        </w:rPr>
      </w:pPr>
    </w:p>
    <w:p w:rsidR="00181544" w:rsidRPr="000509A4" w:rsidRDefault="00181544" w:rsidP="00C706E4">
      <w:pPr>
        <w:pStyle w:val="Prrafodelista"/>
        <w:numPr>
          <w:ilvl w:val="0"/>
          <w:numId w:val="2"/>
        </w:numPr>
        <w:jc w:val="both"/>
        <w:rPr>
          <w:b/>
        </w:rPr>
      </w:pPr>
      <w:r w:rsidRPr="000509A4">
        <w:rPr>
          <w:b/>
        </w:rPr>
        <w:t>Articulado</w:t>
      </w:r>
    </w:p>
    <w:p w:rsidR="00AD7EEA" w:rsidRDefault="00AD7EEA">
      <w:pPr>
        <w:jc w:val="both"/>
        <w:rPr>
          <w:sz w:val="22"/>
          <w:szCs w:val="22"/>
        </w:rPr>
      </w:pPr>
    </w:p>
    <w:p w:rsidR="00AD7EEA" w:rsidRDefault="00AD7EEA">
      <w:pPr>
        <w:jc w:val="both"/>
        <w:rPr>
          <w:sz w:val="22"/>
          <w:szCs w:val="22"/>
        </w:rPr>
      </w:pPr>
    </w:p>
    <w:p w:rsidR="00AD7EEA" w:rsidRPr="000509A4" w:rsidRDefault="00181544">
      <w:pPr>
        <w:jc w:val="center"/>
        <w:rPr>
          <w:b/>
        </w:rPr>
      </w:pPr>
      <w:r w:rsidRPr="000509A4">
        <w:rPr>
          <w:b/>
        </w:rPr>
        <w:t xml:space="preserve">Proyecto De Acuerdo No. </w:t>
      </w:r>
      <w:r w:rsidR="000509A4" w:rsidRPr="000509A4">
        <w:rPr>
          <w:b/>
          <w:u w:val="single"/>
        </w:rPr>
        <w:t>191</w:t>
      </w:r>
      <w:r w:rsidR="000509A4" w:rsidRPr="000509A4">
        <w:rPr>
          <w:b/>
        </w:rPr>
        <w:t xml:space="preserve"> De </w:t>
      </w:r>
      <w:r w:rsidRPr="000509A4">
        <w:rPr>
          <w:b/>
        </w:rPr>
        <w:t>2025</w:t>
      </w:r>
    </w:p>
    <w:p w:rsidR="00AD7EEA" w:rsidRPr="000509A4" w:rsidRDefault="00AD7EEA" w:rsidP="000509A4">
      <w:pPr>
        <w:rPr>
          <w:b/>
        </w:rPr>
      </w:pPr>
    </w:p>
    <w:p w:rsidR="00AD7EEA" w:rsidRPr="000509A4" w:rsidRDefault="00322AC2">
      <w:pPr>
        <w:jc w:val="center"/>
        <w:rPr>
          <w:b/>
        </w:rPr>
      </w:pPr>
      <w:r w:rsidRPr="000509A4">
        <w:rPr>
          <w:b/>
        </w:rPr>
        <w:t>Por el cual se modifica parcialmente el Acuerdo 650 del 2016 y se dictan otras disposiciones.</w:t>
      </w:r>
    </w:p>
    <w:p w:rsidR="00AD7EEA" w:rsidRPr="000509A4" w:rsidRDefault="00AD7EEA">
      <w:pPr>
        <w:jc w:val="center"/>
        <w:rPr>
          <w:b/>
        </w:rPr>
      </w:pPr>
    </w:p>
    <w:p w:rsidR="00AD7EEA" w:rsidRPr="000509A4" w:rsidRDefault="00322AC2">
      <w:pPr>
        <w:jc w:val="center"/>
        <w:rPr>
          <w:b/>
        </w:rPr>
      </w:pPr>
      <w:r w:rsidRPr="000509A4">
        <w:rPr>
          <w:b/>
        </w:rPr>
        <w:t>EL CONCEJO DE BOGOTÁ D.C.</w:t>
      </w:r>
    </w:p>
    <w:p w:rsidR="00AD7EEA" w:rsidRPr="000509A4" w:rsidRDefault="00AD7EEA">
      <w:pPr>
        <w:jc w:val="center"/>
        <w:rPr>
          <w:b/>
        </w:rPr>
      </w:pPr>
    </w:p>
    <w:p w:rsidR="00AD7EEA" w:rsidRPr="000509A4" w:rsidRDefault="00322AC2">
      <w:pPr>
        <w:jc w:val="center"/>
      </w:pPr>
      <w:r w:rsidRPr="000509A4">
        <w:t>En uso de las facultades legales que le confiere el numeral 1 del artículo 12 del Decreto Ley 1421 de 1993,</w:t>
      </w:r>
    </w:p>
    <w:p w:rsidR="00AD7EEA" w:rsidRPr="000509A4" w:rsidRDefault="00AD7EEA">
      <w:pPr>
        <w:jc w:val="center"/>
        <w:rPr>
          <w:b/>
        </w:rPr>
      </w:pPr>
    </w:p>
    <w:p w:rsidR="00AD7EEA" w:rsidRPr="000509A4" w:rsidRDefault="00322AC2">
      <w:pPr>
        <w:jc w:val="center"/>
        <w:rPr>
          <w:b/>
        </w:rPr>
      </w:pPr>
      <w:r w:rsidRPr="000509A4">
        <w:rPr>
          <w:b/>
        </w:rPr>
        <w:t>ACUERDA</w:t>
      </w:r>
    </w:p>
    <w:p w:rsidR="00AD7EEA" w:rsidRPr="000509A4" w:rsidRDefault="00AD7EEA">
      <w:pPr>
        <w:jc w:val="center"/>
        <w:rPr>
          <w:b/>
        </w:rPr>
      </w:pPr>
    </w:p>
    <w:p w:rsidR="00AD7EEA" w:rsidRPr="000509A4" w:rsidRDefault="00322AC2">
      <w:pPr>
        <w:jc w:val="both"/>
      </w:pPr>
      <w:r w:rsidRPr="000509A4">
        <w:rPr>
          <w:b/>
        </w:rPr>
        <w:t xml:space="preserve">Artículo 1. </w:t>
      </w:r>
      <w:r w:rsidRPr="000509A4">
        <w:t>El artículo 1 del Acuerdo 650 del 2016, quedará así:</w:t>
      </w:r>
    </w:p>
    <w:p w:rsidR="00AD7EEA" w:rsidRPr="000509A4" w:rsidRDefault="00AD7EEA">
      <w:pPr>
        <w:jc w:val="both"/>
      </w:pPr>
    </w:p>
    <w:p w:rsidR="00AD7EEA" w:rsidRPr="000509A4" w:rsidRDefault="00322AC2">
      <w:pPr>
        <w:jc w:val="both"/>
      </w:pPr>
      <w:r w:rsidRPr="000509A4">
        <w:rPr>
          <w:b/>
        </w:rPr>
        <w:t xml:space="preserve">ARTÍCULO 1. </w:t>
      </w:r>
      <w:r w:rsidRPr="000509A4">
        <w:t xml:space="preserve">El programa “Innovadores Escolares en Seguridad Vial” hace parte de los planes de formación en seguridad vial escolar de la Secretaría de Movilidad y la Secretaría de Educación. El programa complementará la educación sobre normas, </w:t>
      </w:r>
      <w:r w:rsidR="00E4495F" w:rsidRPr="000509A4">
        <w:t>de</w:t>
      </w:r>
      <w:r w:rsidRPr="000509A4">
        <w:t xml:space="preserve"> tránsito y transporte dirigida a la comunidad educativa en la ciudad incluyendo </w:t>
      </w:r>
      <w:r w:rsidR="00A55E4A" w:rsidRPr="000509A4">
        <w:t>los Colegios Públicos y Privados,  de los Jardines del Distrito</w:t>
      </w:r>
      <w:r w:rsidRPr="000509A4">
        <w:t xml:space="preserve"> y las Escuelas para padres y madres de familia y cuidadores, a través de las articulaciones a que haya lugar y la adhesión de la Secretaría de Integración Social, fomentando la cultura ciudadana que promueva la formación de hábitos,</w:t>
      </w:r>
      <w:r w:rsidR="00E4495F" w:rsidRPr="000509A4">
        <w:t xml:space="preserve"> individuales y colectivos responsables y solidarios mediantes sus</w:t>
      </w:r>
      <w:r w:rsidRPr="000509A4">
        <w:t xml:space="preserve"> comportamientos y conductas seguras en la vía; bajo el marco de la corresponsabilidad, la </w:t>
      </w:r>
      <w:r w:rsidRPr="000509A4">
        <w:lastRenderedPageBreak/>
        <w:t>autorregulación y el autocontrol, encaminados a la generación de ambientes viales seguros y protectores de la vida.</w:t>
      </w:r>
    </w:p>
    <w:p w:rsidR="00AD7EEA" w:rsidRPr="000509A4" w:rsidRDefault="00AD7EEA">
      <w:pPr>
        <w:jc w:val="both"/>
      </w:pPr>
    </w:p>
    <w:p w:rsidR="00AD7EEA" w:rsidRPr="000509A4" w:rsidRDefault="00322AC2">
      <w:pPr>
        <w:jc w:val="both"/>
      </w:pPr>
      <w:r w:rsidRPr="000509A4">
        <w:rPr>
          <w:b/>
        </w:rPr>
        <w:t xml:space="preserve">Artículo 2. </w:t>
      </w:r>
      <w:r w:rsidRPr="000509A4">
        <w:t>Adiciónese un parágrafo al artículo 1, de la siguiente manera:</w:t>
      </w:r>
    </w:p>
    <w:p w:rsidR="00AD7EEA" w:rsidRPr="000509A4" w:rsidRDefault="00AD7EEA">
      <w:pPr>
        <w:jc w:val="both"/>
      </w:pPr>
    </w:p>
    <w:p w:rsidR="00AD7EEA" w:rsidRPr="000509A4" w:rsidRDefault="00322AC2">
      <w:pPr>
        <w:jc w:val="both"/>
      </w:pPr>
      <w:r w:rsidRPr="000509A4">
        <w:rPr>
          <w:b/>
        </w:rPr>
        <w:t>PARÁGRAFO</w:t>
      </w:r>
      <w:r w:rsidRPr="000509A4">
        <w:t xml:space="preserve">: Se generarán y ejecutarán estrategias para incentivar la ejecución del programa “Innovadores Escolares en Seguridad Vial”, </w:t>
      </w:r>
      <w:r w:rsidR="00E4495F" w:rsidRPr="000509A4">
        <w:t>Colegios Públicos y Privados y de los Jardines del Distrito</w:t>
      </w:r>
      <w:r w:rsidRPr="000509A4">
        <w:t>, bajo el marco de la corresponsabilidad en pro del derecho a la vida, del derecho a la integridad personal, así como derechos de protección en los niños y niñas.</w:t>
      </w:r>
    </w:p>
    <w:p w:rsidR="00AD7EEA" w:rsidRPr="000509A4" w:rsidRDefault="00AD7EEA">
      <w:pPr>
        <w:jc w:val="both"/>
      </w:pPr>
    </w:p>
    <w:p w:rsidR="00AD7EEA" w:rsidRPr="000509A4" w:rsidRDefault="00322AC2">
      <w:pPr>
        <w:jc w:val="both"/>
      </w:pPr>
      <w:r w:rsidRPr="000509A4">
        <w:rPr>
          <w:b/>
        </w:rPr>
        <w:t xml:space="preserve">Artículo 3. </w:t>
      </w:r>
      <w:r w:rsidRPr="000509A4">
        <w:t>El artículo 2 del Acuerdo 650 del 2016, quedará así:</w:t>
      </w:r>
    </w:p>
    <w:p w:rsidR="00AD7EEA" w:rsidRPr="000509A4" w:rsidRDefault="00AD7EEA">
      <w:pPr>
        <w:jc w:val="both"/>
      </w:pPr>
    </w:p>
    <w:p w:rsidR="00AD7EEA" w:rsidRPr="000509A4" w:rsidRDefault="00322AC2">
      <w:pPr>
        <w:jc w:val="both"/>
      </w:pPr>
      <w:r w:rsidRPr="000509A4">
        <w:rPr>
          <w:b/>
        </w:rPr>
        <w:t xml:space="preserve">ARTÍCULO 2. </w:t>
      </w:r>
      <w:r w:rsidRPr="000509A4">
        <w:rPr>
          <w:b/>
          <w:u w:val="single"/>
        </w:rPr>
        <w:t>El programa “Innovadores Escolares en Seguridad Vial</w:t>
      </w:r>
      <w:r w:rsidRPr="000509A4">
        <w:t xml:space="preserve">” tiene como propósito generar espacios pedagógicos para desarrollar conocimientos, habilidades y destrezas, que promueva la formación de hábitos, comportamientos y conductas seguras en la vía, utilizando y creando herramientas tecnológicas, lúdicas y culturales en seguridad vial, sobre normas de comportamiento en el tránsito y transporte, y de convivencia, que permitan a la comunidad educativa una movilidad libre y segura, ejerciendo liderazgo seguro y corresponsable sobre la conducción de automóviles, motocicletas y medios alternativos de transporte en la ciudad, así como actos colectivos responsables en las personas que actúan como peatones, usuarios, pasajeros, conductores, motociclistas, ciclistas y de este modo, lograr una mejor interacción entre </w:t>
      </w:r>
      <w:r w:rsidR="00E4495F" w:rsidRPr="000509A4">
        <w:t>sí</w:t>
      </w:r>
      <w:r w:rsidRPr="000509A4">
        <w:t>, que garanticen la protección de la vida en la vía.</w:t>
      </w:r>
    </w:p>
    <w:p w:rsidR="00AD7EEA" w:rsidRPr="000509A4" w:rsidRDefault="00AD7EEA">
      <w:pPr>
        <w:jc w:val="both"/>
      </w:pPr>
    </w:p>
    <w:p w:rsidR="00AD7EEA" w:rsidRPr="000509A4" w:rsidRDefault="00322AC2">
      <w:pPr>
        <w:jc w:val="both"/>
      </w:pPr>
      <w:r w:rsidRPr="000509A4">
        <w:rPr>
          <w:b/>
        </w:rPr>
        <w:t xml:space="preserve">Artículo 4. </w:t>
      </w:r>
      <w:r w:rsidRPr="000509A4">
        <w:t>Adiciónese un parágrafo al artículo 2, de la siguiente manera:</w:t>
      </w:r>
    </w:p>
    <w:p w:rsidR="00AD7EEA" w:rsidRPr="000509A4" w:rsidRDefault="00AD7EEA">
      <w:pPr>
        <w:jc w:val="both"/>
        <w:rPr>
          <w:b/>
        </w:rPr>
      </w:pPr>
    </w:p>
    <w:p w:rsidR="00AD7EEA" w:rsidRPr="000509A4" w:rsidRDefault="00322AC2">
      <w:pPr>
        <w:jc w:val="both"/>
      </w:pPr>
      <w:r w:rsidRPr="000509A4">
        <w:rPr>
          <w:b/>
        </w:rPr>
        <w:t>PARÁGRAFO</w:t>
      </w:r>
      <w:r w:rsidRPr="000509A4">
        <w:t xml:space="preserve">: La administración presentará al Concejo de Bogotá D.C. un informe anual, que dé cuenta del cumplimiento del Programa Innovadores en Seguridad Vial, así como el cumplimiento del Decreto 594 del 2015, especialmente a lo referente a: parques infantiles de tránsito; audiolibros (para personas con discapacidad sensorial (sordos, ciegos, sordo-ciegos) y cognitiva, referentes a realizar prácticas concernientes a comportamientos seguros como actor vial); maletas de seguridad vial, módulos para impulsar gradualmente el uso de la bicicleta en condiciones de seguridad vial y los Planes de Movilidad Escolar implementados. </w:t>
      </w:r>
      <w:r w:rsidR="00E4495F" w:rsidRPr="000509A4">
        <w:t>El proyecto</w:t>
      </w:r>
      <w:r w:rsidRPr="000509A4">
        <w:t xml:space="preserve"> se hará público y será de fácil acceso para toda la Ciudadanía.</w:t>
      </w:r>
    </w:p>
    <w:p w:rsidR="00AD7EEA" w:rsidRPr="000509A4" w:rsidRDefault="00AD7EEA">
      <w:pPr>
        <w:jc w:val="both"/>
        <w:rPr>
          <w:b/>
        </w:rPr>
      </w:pPr>
    </w:p>
    <w:p w:rsidR="00AD7EEA" w:rsidRPr="000509A4" w:rsidRDefault="00322AC2">
      <w:pPr>
        <w:jc w:val="both"/>
      </w:pPr>
      <w:r w:rsidRPr="000509A4">
        <w:rPr>
          <w:b/>
        </w:rPr>
        <w:t xml:space="preserve">Artículo 5. </w:t>
      </w:r>
      <w:r w:rsidRPr="000509A4">
        <w:t>El artículo 3 del Acuerdo 650 del 2016, quedará así:</w:t>
      </w:r>
    </w:p>
    <w:p w:rsidR="00AD7EEA" w:rsidRPr="000509A4" w:rsidRDefault="00AD7EEA" w:rsidP="00AD3DFD">
      <w:pPr>
        <w:jc w:val="both"/>
        <w:rPr>
          <w:b/>
        </w:rPr>
      </w:pPr>
    </w:p>
    <w:p w:rsidR="00AD7EEA" w:rsidRPr="000509A4" w:rsidRDefault="00322AC2" w:rsidP="00AD3DFD">
      <w:pPr>
        <w:jc w:val="both"/>
      </w:pPr>
      <w:r w:rsidRPr="000509A4">
        <w:rPr>
          <w:b/>
        </w:rPr>
        <w:t xml:space="preserve">ARTÍCULO 3. </w:t>
      </w:r>
      <w:r w:rsidRPr="000509A4">
        <w:t>La Secretaría Dist</w:t>
      </w:r>
      <w:r w:rsidR="00E4495F" w:rsidRPr="000509A4">
        <w:t>rital de Educación, La Secretarí</w:t>
      </w:r>
      <w:r w:rsidRPr="000509A4">
        <w:t>a Distrital de Movilidad, La Secretaría Distrital de Integración Social, El Instituto Distrital de Recreación y Deporte- IDRD y la Secretaría de Cultura, promoverán y ejecutarán para dar cumplimiento al programa “</w:t>
      </w:r>
      <w:r w:rsidRPr="000509A4">
        <w:rPr>
          <w:b/>
          <w:u w:val="single"/>
        </w:rPr>
        <w:t>Innovadores Escolares en Seguridad Vial”; espacios lúdicos, pedagógicos y culturales de interacción denominados “Laboratorios de Seguridad Vial”</w:t>
      </w:r>
      <w:r w:rsidRPr="000509A4">
        <w:t xml:space="preserve"> en donde se forme a las y los estudiantes de los Colegios Públicos y Privados y de los Jardines del Distrito, así como a los padres y madres de familia y cuidadores, acerca de hábitos, comportamientos y conductas seguras en la vía, y de convivencia, por medio de herramientas tecnológicas, recreativas y culturales, de tal manera que se contribuya a reconocer, desincentivar y corregir  los malos hábitos ciudadanos, a través del análisis de casos reales.</w:t>
      </w:r>
    </w:p>
    <w:p w:rsidR="00AD7EEA" w:rsidRPr="000509A4" w:rsidRDefault="00AD7EEA" w:rsidP="00AD3DFD">
      <w:pPr>
        <w:jc w:val="both"/>
      </w:pPr>
    </w:p>
    <w:p w:rsidR="00AD7EEA" w:rsidRPr="000509A4" w:rsidRDefault="00322AC2" w:rsidP="00AD3DFD">
      <w:pPr>
        <w:jc w:val="both"/>
      </w:pPr>
      <w:r w:rsidRPr="000509A4">
        <w:rPr>
          <w:b/>
        </w:rPr>
        <w:t xml:space="preserve">Artículo 6. </w:t>
      </w:r>
      <w:r w:rsidRPr="000509A4">
        <w:t>El parágrafo del artículo 4 del Acuerdo 650 del 2016, quedará así:</w:t>
      </w:r>
    </w:p>
    <w:p w:rsidR="00AD3DFD" w:rsidRPr="000509A4" w:rsidRDefault="00AD3DFD" w:rsidP="00AD3DFD">
      <w:pPr>
        <w:jc w:val="both"/>
      </w:pPr>
    </w:p>
    <w:p w:rsidR="00AD7EEA" w:rsidRPr="000509A4" w:rsidRDefault="00322AC2" w:rsidP="00AD3DFD">
      <w:pPr>
        <w:jc w:val="both"/>
      </w:pPr>
      <w:r w:rsidRPr="000509A4">
        <w:rPr>
          <w:b/>
        </w:rPr>
        <w:t>PARÁGRAFO</w:t>
      </w:r>
      <w:r w:rsidRPr="000509A4">
        <w:t>: Para el cumplimiento de este artículo, se generarán y ejecutarán estrategias que permitan verificar y garantizar la implementación y cumplimiento del Decreto 594 de 2015 y demás normas vigentes, con lo que se garantizará la participación activa e incidente de todas las comunidades educativas; docentes, familias y estudiantes.</w:t>
      </w:r>
    </w:p>
    <w:p w:rsidR="00AD7EEA" w:rsidRPr="000509A4" w:rsidRDefault="00AD7EEA">
      <w:pPr>
        <w:jc w:val="both"/>
      </w:pPr>
    </w:p>
    <w:p w:rsidR="00AD7EEA" w:rsidRPr="000509A4" w:rsidRDefault="00322AC2">
      <w:pPr>
        <w:jc w:val="both"/>
      </w:pPr>
      <w:r w:rsidRPr="000509A4">
        <w:rPr>
          <w:b/>
        </w:rPr>
        <w:t xml:space="preserve">Artículo 7. Vigencia. </w:t>
      </w:r>
      <w:r w:rsidRPr="000509A4">
        <w:t>El presente Acuerdo rige a partir de la fecha de su publicación.</w:t>
      </w:r>
    </w:p>
    <w:p w:rsidR="005E4D7E" w:rsidRPr="000509A4" w:rsidRDefault="005E4D7E" w:rsidP="00AD3DFD"/>
    <w:p w:rsidR="005E4D7E" w:rsidRPr="000509A4" w:rsidRDefault="005E4D7E">
      <w:pPr>
        <w:jc w:val="center"/>
      </w:pPr>
    </w:p>
    <w:p w:rsidR="00AD3DFD" w:rsidRPr="000509A4" w:rsidRDefault="00AD3DFD" w:rsidP="00AD3DFD">
      <w:pPr>
        <w:spacing w:line="276" w:lineRule="auto"/>
        <w:jc w:val="center"/>
        <w:rPr>
          <w:b/>
        </w:rPr>
      </w:pPr>
      <w:r w:rsidRPr="000509A4">
        <w:rPr>
          <w:b/>
        </w:rPr>
        <w:t>PUBLÍQUESE Y CÚMPLASE</w:t>
      </w:r>
    </w:p>
    <w:p w:rsidR="00AD3DFD" w:rsidRPr="000509A4" w:rsidRDefault="00AD3DFD" w:rsidP="00AD3DFD">
      <w:pPr>
        <w:spacing w:line="276" w:lineRule="auto"/>
        <w:jc w:val="center"/>
      </w:pPr>
    </w:p>
    <w:p w:rsidR="00AD3DFD" w:rsidRPr="000509A4" w:rsidRDefault="00AD3DFD" w:rsidP="00AD3DFD">
      <w:pPr>
        <w:spacing w:line="276" w:lineRule="auto"/>
        <w:jc w:val="center"/>
      </w:pPr>
      <w:r w:rsidRPr="000509A4">
        <w:t>Presidente</w:t>
      </w:r>
    </w:p>
    <w:p w:rsidR="00AD3DFD" w:rsidRPr="000509A4" w:rsidRDefault="00AD3DFD" w:rsidP="00AD3DFD">
      <w:pPr>
        <w:spacing w:line="276" w:lineRule="auto"/>
        <w:jc w:val="center"/>
      </w:pPr>
    </w:p>
    <w:p w:rsidR="00AD3DFD" w:rsidRPr="000509A4" w:rsidRDefault="00AD3DFD" w:rsidP="00AD3DFD">
      <w:pPr>
        <w:spacing w:line="276" w:lineRule="auto"/>
        <w:jc w:val="center"/>
      </w:pPr>
      <w:r w:rsidRPr="000509A4">
        <w:t>Secretaría General de Organismo de Control</w:t>
      </w:r>
    </w:p>
    <w:p w:rsidR="00AD3DFD" w:rsidRDefault="00AD3DFD" w:rsidP="00AD3DFD">
      <w:pPr>
        <w:spacing w:line="276" w:lineRule="auto"/>
        <w:jc w:val="center"/>
        <w:rPr>
          <w:sz w:val="22"/>
          <w:szCs w:val="22"/>
        </w:rPr>
      </w:pPr>
      <w:bookmarkStart w:id="3" w:name="_heading=h.bk5r0ow0mdx4" w:colFirst="0" w:colLast="0"/>
      <w:bookmarkEnd w:id="3"/>
    </w:p>
    <w:p w:rsidR="00A55E4A" w:rsidRDefault="00A55E4A" w:rsidP="00AD3DFD">
      <w:pPr>
        <w:spacing w:line="276" w:lineRule="auto"/>
        <w:jc w:val="center"/>
        <w:rPr>
          <w:sz w:val="22"/>
          <w:szCs w:val="22"/>
        </w:rPr>
      </w:pPr>
    </w:p>
    <w:p w:rsidR="00AD3DFD" w:rsidRDefault="00AD3DFD" w:rsidP="00AD3DFD">
      <w:pPr>
        <w:spacing w:line="276" w:lineRule="auto"/>
        <w:jc w:val="center"/>
        <w:rPr>
          <w:sz w:val="22"/>
          <w:szCs w:val="22"/>
        </w:rPr>
      </w:pPr>
    </w:p>
    <w:p w:rsidR="00AD3DFD" w:rsidRDefault="00AD3DFD" w:rsidP="00AD3DFD">
      <w:pPr>
        <w:spacing w:line="276" w:lineRule="auto"/>
        <w:jc w:val="center"/>
        <w:rPr>
          <w:sz w:val="22"/>
          <w:szCs w:val="22"/>
        </w:rPr>
      </w:pPr>
      <w:r>
        <w:rPr>
          <w:sz w:val="22"/>
          <w:szCs w:val="22"/>
        </w:rPr>
        <w:t>Carlos Fernando Galán Pachón</w:t>
      </w:r>
    </w:p>
    <w:p w:rsidR="00AD3DFD" w:rsidRDefault="00AD3DFD" w:rsidP="00AD3DFD">
      <w:pPr>
        <w:spacing w:line="276" w:lineRule="auto"/>
        <w:jc w:val="center"/>
        <w:rPr>
          <w:sz w:val="22"/>
          <w:szCs w:val="22"/>
        </w:rPr>
      </w:pPr>
      <w:r>
        <w:rPr>
          <w:sz w:val="22"/>
          <w:szCs w:val="22"/>
        </w:rPr>
        <w:t>Alcalde de Bogotá</w:t>
      </w:r>
    </w:p>
    <w:p w:rsidR="005E4D7E" w:rsidRDefault="005E4D7E">
      <w:pPr>
        <w:jc w:val="center"/>
        <w:rPr>
          <w:sz w:val="22"/>
          <w:szCs w:val="22"/>
        </w:rPr>
      </w:pPr>
    </w:p>
    <w:sectPr w:rsidR="005E4D7E">
      <w:headerReference w:type="default" r:id="rId27"/>
      <w:footerReference w:type="even" r:id="rId28"/>
      <w:footerReference w:type="default" r:id="rId29"/>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BA5" w:rsidRDefault="00542BA5">
      <w:r>
        <w:separator/>
      </w:r>
    </w:p>
  </w:endnote>
  <w:endnote w:type="continuationSeparator" w:id="0">
    <w:p w:rsidR="00542BA5" w:rsidRDefault="0054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482" w:rsidRDefault="004B0482">
    <w:pPr>
      <w:pBdr>
        <w:top w:val="nil"/>
        <w:left w:val="nil"/>
        <w:bottom w:val="nil"/>
        <w:right w:val="nil"/>
        <w:between w:val="nil"/>
      </w:pBdr>
      <w:tabs>
        <w:tab w:val="center" w:pos="4419"/>
        <w:tab w:val="right" w:pos="8838"/>
      </w:tabs>
      <w:jc w:val="right"/>
      <w:rPr>
        <w:rFonts w:ascii="Calibri" w:eastAsia="Calibri" w:hAnsi="Calibri" w:cs="Calibri"/>
      </w:rPr>
    </w:pPr>
  </w:p>
  <w:p w:rsidR="004B0482" w:rsidRDefault="004B0482">
    <w:pPr>
      <w:pBdr>
        <w:top w:val="nil"/>
        <w:left w:val="nil"/>
        <w:bottom w:val="nil"/>
        <w:right w:val="nil"/>
        <w:between w:val="nil"/>
      </w:pBdr>
      <w:tabs>
        <w:tab w:val="center" w:pos="4419"/>
        <w:tab w:val="right" w:pos="8838"/>
      </w:tabs>
      <w:ind w:right="360"/>
      <w:rPr>
        <w:rFonts w:ascii="Calibri" w:eastAsia="Calibri" w:hAnsi="Calibri" w:cs="Calibri"/>
      </w:rPr>
    </w:pPr>
  </w:p>
  <w:p w:rsidR="004B0482" w:rsidRDefault="004B0482">
    <w:pPr>
      <w:widowControl w:val="0"/>
      <w:pBdr>
        <w:top w:val="nil"/>
        <w:left w:val="nil"/>
        <w:bottom w:val="nil"/>
        <w:right w:val="nil"/>
        <w:between w:val="nil"/>
      </w:pBdr>
      <w:spacing w:line="276" w:lineRule="auto"/>
      <w:rPr>
        <w:rFonts w:ascii="Calibri" w:eastAsia="Calibri" w:hAnsi="Calibri" w:cs="Calibri"/>
      </w:rPr>
    </w:pPr>
  </w:p>
  <w:p w:rsidR="004B0482" w:rsidRDefault="004B0482">
    <w:pPr>
      <w:widowControl w:val="0"/>
      <w:pBdr>
        <w:top w:val="nil"/>
        <w:left w:val="nil"/>
        <w:bottom w:val="nil"/>
        <w:right w:val="nil"/>
        <w:between w:val="nil"/>
      </w:pBdr>
      <w:spacing w:line="276" w:lineRule="auto"/>
      <w:rPr>
        <w:rFonts w:ascii="Calibri" w:eastAsia="Calibri" w:hAnsi="Calibri" w:cs="Calibri"/>
      </w:rPr>
    </w:pPr>
  </w:p>
  <w:p w:rsidR="004B0482" w:rsidRDefault="004B0482">
    <w:pPr>
      <w:widowControl w:val="0"/>
      <w:pBdr>
        <w:top w:val="nil"/>
        <w:left w:val="nil"/>
        <w:bottom w:val="nil"/>
        <w:right w:val="nil"/>
        <w:between w:val="nil"/>
      </w:pBdr>
      <w:spacing w:line="276" w:lineRule="auto"/>
      <w:rPr>
        <w:rFonts w:ascii="Calibri" w:eastAsia="Calibri" w:hAnsi="Calibri" w:cs="Calibri"/>
      </w:rPr>
    </w:pPr>
    <w:r>
      <w:rPr>
        <w:rFonts w:ascii="Calibri" w:eastAsia="Calibri" w:hAnsi="Calibri" w:cs="Calibri"/>
      </w:rPr>
      <w:fldChar w:fldCharType="begin"/>
    </w:r>
    <w:r>
      <w:rPr>
        <w:rFonts w:ascii="Calibri" w:eastAsia="Calibri" w:hAnsi="Calibri" w:cs="Calibri"/>
      </w:rPr>
      <w:instrText>PAGE</w:instrText>
    </w:r>
    <w:r>
      <w:rPr>
        <w:rFonts w:ascii="Calibri" w:eastAsia="Calibri" w:hAnsi="Calibri" w:cs="Calibri"/>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482" w:rsidRDefault="004B0482">
    <w:pPr>
      <w:pBdr>
        <w:top w:val="nil"/>
        <w:left w:val="nil"/>
        <w:bottom w:val="nil"/>
        <w:right w:val="nil"/>
        <w:between w:val="nil"/>
      </w:pBdr>
      <w:tabs>
        <w:tab w:val="center" w:pos="4680"/>
        <w:tab w:val="right" w:pos="9360"/>
      </w:tabs>
      <w:ind w:right="51"/>
      <w:rPr>
        <w:sz w:val="16"/>
        <w:szCs w:val="16"/>
      </w:rPr>
    </w:pPr>
    <w:r>
      <w:rPr>
        <w:noProof/>
        <w:lang w:val="es-419" w:eastAsia="es-419"/>
      </w:rPr>
      <w:drawing>
        <wp:anchor distT="0" distB="0" distL="0" distR="0" simplePos="0" relativeHeight="251660288" behindDoc="0" locked="0" layoutInCell="1" hidden="0" allowOverlap="1" wp14:anchorId="21CC23A1" wp14:editId="2F7F941B">
          <wp:simplePos x="0" y="0"/>
          <wp:positionH relativeFrom="column">
            <wp:posOffset>4285827</wp:posOffset>
          </wp:positionH>
          <wp:positionV relativeFrom="paragraph">
            <wp:posOffset>80010</wp:posOffset>
          </wp:positionV>
          <wp:extent cx="1209675" cy="730250"/>
          <wp:effectExtent l="0" t="0" r="0" b="0"/>
          <wp:wrapSquare wrapText="bothSides" distT="0" distB="0" distL="0" distR="0"/>
          <wp:docPr id="50" name="image3.png" descr="A picture containing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A picture containing company name&#10;&#10;Description automatically generated"/>
                  <pic:cNvPicPr preferRelativeResize="0"/>
                </pic:nvPicPr>
                <pic:blipFill>
                  <a:blip r:embed="rId1"/>
                  <a:srcRect/>
                  <a:stretch>
                    <a:fillRect/>
                  </a:stretch>
                </pic:blipFill>
                <pic:spPr>
                  <a:xfrm>
                    <a:off x="0" y="0"/>
                    <a:ext cx="1209675" cy="730250"/>
                  </a:xfrm>
                  <a:prstGeom prst="rect">
                    <a:avLst/>
                  </a:prstGeom>
                  <a:ln/>
                </pic:spPr>
              </pic:pic>
            </a:graphicData>
          </a:graphic>
        </wp:anchor>
      </w:drawing>
    </w:r>
  </w:p>
  <w:p w:rsidR="004B0482" w:rsidRDefault="004B0482">
    <w:pPr>
      <w:pBdr>
        <w:top w:val="nil"/>
        <w:left w:val="nil"/>
        <w:bottom w:val="nil"/>
        <w:right w:val="nil"/>
        <w:between w:val="nil"/>
      </w:pBdr>
      <w:tabs>
        <w:tab w:val="center" w:pos="4680"/>
        <w:tab w:val="right" w:pos="9360"/>
      </w:tabs>
      <w:ind w:firstLine="568"/>
      <w:jc w:val="center"/>
      <w:rPr>
        <w:color w:val="4F81BD"/>
        <w:sz w:val="16"/>
        <w:szCs w:val="16"/>
      </w:rPr>
    </w:pPr>
    <w:r>
      <w:rPr>
        <w:noProof/>
        <w:lang w:val="es-419" w:eastAsia="es-419"/>
      </w:rPr>
      <w:drawing>
        <wp:anchor distT="0" distB="0" distL="0" distR="0" simplePos="0" relativeHeight="251661312" behindDoc="0" locked="0" layoutInCell="1" hidden="0" allowOverlap="1" wp14:anchorId="4C61A7A0" wp14:editId="59687A78">
          <wp:simplePos x="0" y="0"/>
          <wp:positionH relativeFrom="column">
            <wp:posOffset>-8883</wp:posOffset>
          </wp:positionH>
          <wp:positionV relativeFrom="paragraph">
            <wp:posOffset>6985</wp:posOffset>
          </wp:positionV>
          <wp:extent cx="1852930" cy="729615"/>
          <wp:effectExtent l="0" t="0" r="0" b="0"/>
          <wp:wrapSquare wrapText="bothSides" distT="0" distB="0" distL="0" distR="0"/>
          <wp:docPr id="55" name="image2.png" descr="Diagram, schematic&#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Diagram, schematic&#10;&#10;Description automatically generated"/>
                  <pic:cNvPicPr preferRelativeResize="0"/>
                </pic:nvPicPr>
                <pic:blipFill>
                  <a:blip r:embed="rId2"/>
                  <a:srcRect/>
                  <a:stretch>
                    <a:fillRect/>
                  </a:stretch>
                </pic:blipFill>
                <pic:spPr>
                  <a:xfrm>
                    <a:off x="0" y="0"/>
                    <a:ext cx="1852930" cy="729615"/>
                  </a:xfrm>
                  <a:prstGeom prst="rect">
                    <a:avLst/>
                  </a:prstGeom>
                  <a:ln/>
                </pic:spPr>
              </pic:pic>
            </a:graphicData>
          </a:graphic>
        </wp:anchor>
      </w:drawing>
    </w:r>
  </w:p>
  <w:p w:rsidR="004B0482" w:rsidRDefault="004B0482">
    <w:pPr>
      <w:jc w:val="center"/>
      <w:rPr>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101936">
      <w:rPr>
        <w:noProof/>
        <w:sz w:val="16"/>
        <w:szCs w:val="16"/>
      </w:rPr>
      <w:t>1</w:t>
    </w:r>
    <w:r>
      <w:rPr>
        <w:sz w:val="16"/>
        <w:szCs w:val="16"/>
      </w:rPr>
      <w:fldChar w:fldCharType="end"/>
    </w:r>
    <w:r>
      <w:rPr>
        <w:sz w:val="16"/>
        <w:szCs w:val="16"/>
      </w:rPr>
      <w:t xml:space="preserve"> de 1</w:t>
    </w:r>
  </w:p>
  <w:p w:rsidR="004B0482" w:rsidRDefault="004B0482">
    <w:pPr>
      <w:ind w:left="284" w:firstLine="284"/>
      <w:jc w:val="center"/>
      <w:rPr>
        <w:sz w:val="16"/>
        <w:szCs w:val="16"/>
      </w:rPr>
    </w:pPr>
    <w:r>
      <w:rPr>
        <w:noProof/>
        <w:lang w:val="es-419" w:eastAsia="es-419"/>
      </w:rPr>
      <mc:AlternateContent>
        <mc:Choice Requires="wps">
          <w:drawing>
            <wp:anchor distT="0" distB="0" distL="114300" distR="114300" simplePos="0" relativeHeight="251662336" behindDoc="0" locked="0" layoutInCell="1" hidden="0" allowOverlap="1" wp14:anchorId="182F232A" wp14:editId="6364C65E">
              <wp:simplePos x="0" y="0"/>
              <wp:positionH relativeFrom="column">
                <wp:posOffset>4381500</wp:posOffset>
              </wp:positionH>
              <wp:positionV relativeFrom="paragraph">
                <wp:posOffset>381000</wp:posOffset>
              </wp:positionV>
              <wp:extent cx="1201664" cy="256540"/>
              <wp:effectExtent l="0" t="0" r="0" b="0"/>
              <wp:wrapNone/>
              <wp:docPr id="49" name="Rectángulo 49"/>
              <wp:cNvGraphicFramePr/>
              <a:graphic xmlns:a="http://schemas.openxmlformats.org/drawingml/2006/main">
                <a:graphicData uri="http://schemas.microsoft.com/office/word/2010/wordprocessingShape">
                  <wps:wsp>
                    <wps:cNvSpPr/>
                    <wps:spPr>
                      <a:xfrm>
                        <a:off x="4773743" y="3680305"/>
                        <a:ext cx="1144514" cy="199390"/>
                      </a:xfrm>
                      <a:prstGeom prst="rect">
                        <a:avLst/>
                      </a:prstGeom>
                      <a:noFill/>
                      <a:ln>
                        <a:noFill/>
                      </a:ln>
                    </wps:spPr>
                    <wps:txbx>
                      <w:txbxContent>
                        <w:p w:rsidR="004B0482" w:rsidRDefault="004B0482">
                          <w:pPr>
                            <w:textDirection w:val="btLr"/>
                          </w:pPr>
                          <w:r>
                            <w:rPr>
                              <w:sz w:val="15"/>
                            </w:rPr>
                            <w:t>GDO-PT-002 / V.03</w:t>
                          </w:r>
                        </w:p>
                      </w:txbxContent>
                    </wps:txbx>
                    <wps:bodyPr spcFirstLastPara="1" wrap="square" lIns="91425" tIns="45700" rIns="91425" bIns="45700" anchor="t" anchorCtr="0">
                      <a:noAutofit/>
                    </wps:bodyPr>
                  </wps:wsp>
                </a:graphicData>
              </a:graphic>
            </wp:anchor>
          </w:drawing>
        </mc:Choice>
        <mc:Fallback>
          <w:pict>
            <v:rect w14:anchorId="182F232A" id="Rectángulo 49" o:spid="_x0000_s1026" style="position:absolute;left:0;text-align:left;margin-left:345pt;margin-top:30pt;width:94.6pt;height:20.2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" filled="f" stroked="f">
              <v:textbox inset="2.53958mm,1.2694mm,2.53958mm,1.2694mm">
                <w:txbxContent>
                  <w:p w:rsidR="004B0482" w:rsidRDefault="004B0482">
                    <w:pPr>
                      <w:textDirection w:val="btLr"/>
                    </w:pPr>
                    <w:r>
                      <w:rPr>
                        <w:sz w:val="15"/>
                      </w:rPr>
                      <w:t>GDO-PT-002 / V.03</w:t>
                    </w:r>
                  </w:p>
                </w:txbxContent>
              </v:textbox>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482" w:rsidRDefault="004B0482">
    <w:pPr>
      <w:jc w:val="center"/>
      <w:rPr>
        <w:sz w:val="16"/>
        <w:szCs w:val="16"/>
      </w:rPr>
    </w:pPr>
    <w:r>
      <w:rPr>
        <w:sz w:val="16"/>
        <w:szCs w:val="16"/>
      </w:rPr>
      <w:t>Página 1 de 1</w:t>
    </w:r>
    <w:r>
      <w:rPr>
        <w:noProof/>
        <w:lang w:val="es-419" w:eastAsia="es-419"/>
      </w:rPr>
      <w:drawing>
        <wp:anchor distT="114300" distB="114300" distL="114300" distR="114300" simplePos="0" relativeHeight="251663360" behindDoc="0" locked="0" layoutInCell="1" hidden="0" allowOverlap="1" wp14:anchorId="6B413549" wp14:editId="3FA61519">
          <wp:simplePos x="0" y="0"/>
          <wp:positionH relativeFrom="column">
            <wp:posOffset>-400037</wp:posOffset>
          </wp:positionH>
          <wp:positionV relativeFrom="paragraph">
            <wp:posOffset>-244465</wp:posOffset>
          </wp:positionV>
          <wp:extent cx="1390650" cy="552450"/>
          <wp:effectExtent l="0" t="0" r="0" b="0"/>
          <wp:wrapSquare wrapText="bothSides" distT="114300" distB="114300" distL="114300" distR="114300"/>
          <wp:docPr id="5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90650" cy="552450"/>
                  </a:xfrm>
                  <a:prstGeom prst="rect">
                    <a:avLst/>
                  </a:prstGeom>
                  <a:ln/>
                </pic:spPr>
              </pic:pic>
            </a:graphicData>
          </a:graphic>
        </wp:anchor>
      </w:drawing>
    </w:r>
  </w:p>
  <w:p w:rsidR="004B0482" w:rsidRDefault="004B0482">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482" w:rsidRDefault="004B0482">
    <w:pPr>
      <w:pBdr>
        <w:top w:val="nil"/>
        <w:left w:val="nil"/>
        <w:bottom w:val="nil"/>
        <w:right w:val="nil"/>
        <w:between w:val="nil"/>
      </w:pBdr>
      <w:tabs>
        <w:tab w:val="center" w:pos="4252"/>
        <w:tab w:val="right" w:pos="8504"/>
      </w:tabs>
      <w:jc w:val="right"/>
    </w:pPr>
    <w:r>
      <w:fldChar w:fldCharType="begin"/>
    </w:r>
    <w:r>
      <w:instrText>PAGE</w:instrText>
    </w:r>
    <w:r>
      <w:fldChar w:fldCharType="end"/>
    </w:r>
  </w:p>
  <w:p w:rsidR="004B0482" w:rsidRDefault="004B0482">
    <w:pPr>
      <w:pBdr>
        <w:top w:val="nil"/>
        <w:left w:val="nil"/>
        <w:bottom w:val="nil"/>
        <w:right w:val="nil"/>
        <w:between w:val="nil"/>
      </w:pBdr>
      <w:tabs>
        <w:tab w:val="center" w:pos="4252"/>
        <w:tab w:val="right" w:pos="8504"/>
      </w:tabs>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482" w:rsidRDefault="004B0482">
    <w:pPr>
      <w:jc w:val="right"/>
      <w:rPr>
        <w:b/>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BA5" w:rsidRDefault="00542BA5">
      <w:r>
        <w:separator/>
      </w:r>
    </w:p>
  </w:footnote>
  <w:footnote w:type="continuationSeparator" w:id="0">
    <w:p w:rsidR="00542BA5" w:rsidRDefault="00542BA5">
      <w:r>
        <w:continuationSeparator/>
      </w:r>
    </w:p>
  </w:footnote>
  <w:footnote w:id="1">
    <w:p w:rsidR="004B0482" w:rsidRDefault="004B0482">
      <w:pPr>
        <w:pBdr>
          <w:top w:val="nil"/>
          <w:left w:val="nil"/>
          <w:bottom w:val="nil"/>
          <w:right w:val="nil"/>
          <w:between w:val="nil"/>
        </w:pBdr>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La Seguridad Vial infantil en la agenda de salud pública nacional- ANSV</w:t>
      </w:r>
    </w:p>
  </w:footnote>
  <w:footnote w:id="2">
    <w:p w:rsidR="004B0482" w:rsidRDefault="004B0482">
      <w:pPr>
        <w:pBdr>
          <w:top w:val="nil"/>
          <w:left w:val="nil"/>
          <w:bottom w:val="nil"/>
          <w:right w:val="nil"/>
          <w:between w:val="nil"/>
        </w:pBdr>
        <w:rPr>
          <w:rFonts w:ascii="Calibri" w:eastAsia="Calibri" w:hAnsi="Calibri" w:cs="Calibri"/>
          <w:sz w:val="20"/>
          <w:szCs w:val="20"/>
        </w:rPr>
      </w:pPr>
      <w:bookmarkStart w:id="2" w:name="_heading=h.1fob9te" w:colFirst="0" w:colLast="0"/>
      <w:bookmarkEnd w:id="2"/>
      <w:r>
        <w:rPr>
          <w:vertAlign w:val="superscript"/>
        </w:rPr>
        <w:footnoteRef/>
      </w:r>
      <w:r>
        <w:rPr>
          <w:rFonts w:ascii="Calibri" w:eastAsia="Calibri" w:hAnsi="Calibri" w:cs="Calibri"/>
          <w:sz w:val="20"/>
          <w:szCs w:val="20"/>
        </w:rPr>
        <w:t xml:space="preserve"> Respuesta SDM SDQS 2333652023</w:t>
      </w:r>
    </w:p>
  </w:footnote>
  <w:footnote w:id="3">
    <w:p w:rsidR="004B0482" w:rsidRDefault="004B0482">
      <w:pPr>
        <w:pBdr>
          <w:top w:val="nil"/>
          <w:left w:val="nil"/>
          <w:bottom w:val="nil"/>
          <w:right w:val="nil"/>
          <w:between w:val="nil"/>
        </w:pBdr>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Guía para la elaboración del PME- ANSV</w:t>
      </w:r>
    </w:p>
  </w:footnote>
  <w:footnote w:id="4">
    <w:p w:rsidR="004B0482" w:rsidRDefault="004B0482">
      <w:pPr>
        <w:pBdr>
          <w:top w:val="nil"/>
          <w:left w:val="nil"/>
          <w:bottom w:val="nil"/>
          <w:right w:val="nil"/>
          <w:between w:val="nil"/>
        </w:pBdr>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Ídem Pág. 4.</w:t>
      </w:r>
    </w:p>
  </w:footnote>
  <w:footnote w:id="5">
    <w:p w:rsidR="004B0482" w:rsidRDefault="004B0482">
      <w:pPr>
        <w:pBdr>
          <w:top w:val="nil"/>
          <w:left w:val="nil"/>
          <w:bottom w:val="nil"/>
          <w:right w:val="nil"/>
          <w:between w:val="nil"/>
        </w:pBdr>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Organización Mundial de la Salud</w:t>
      </w:r>
    </w:p>
  </w:footnote>
  <w:footnote w:id="6">
    <w:p w:rsidR="004B0482" w:rsidRDefault="004B0482">
      <w:pPr>
        <w:pBdr>
          <w:top w:val="nil"/>
          <w:left w:val="nil"/>
          <w:bottom w:val="nil"/>
          <w:right w:val="nil"/>
          <w:between w:val="nil"/>
        </w:pBdr>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Guía para la elaboración del PME- ANSV</w:t>
      </w:r>
    </w:p>
  </w:footnote>
  <w:footnote w:id="7">
    <w:p w:rsidR="004B0482" w:rsidRDefault="004B0482">
      <w:pPr>
        <w:pBdr>
          <w:top w:val="nil"/>
          <w:left w:val="nil"/>
          <w:bottom w:val="nil"/>
          <w:right w:val="nil"/>
          <w:between w:val="nil"/>
        </w:pBdr>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Ídem Pág. 6.</w:t>
      </w:r>
    </w:p>
  </w:footnote>
  <w:footnote w:id="8">
    <w:p w:rsidR="004B0482" w:rsidRDefault="004B0482">
      <w:pPr>
        <w:pBdr>
          <w:top w:val="nil"/>
          <w:left w:val="nil"/>
          <w:bottom w:val="nil"/>
          <w:right w:val="nil"/>
          <w:between w:val="nil"/>
        </w:pBdr>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Respuesta SDQS 2334082023 Secretaría Distrital de Educación.</w:t>
      </w:r>
    </w:p>
  </w:footnote>
  <w:footnote w:id="9">
    <w:p w:rsidR="004B0482" w:rsidRDefault="004B0482">
      <w:pPr>
        <w:pBdr>
          <w:top w:val="nil"/>
          <w:left w:val="nil"/>
          <w:bottom w:val="nil"/>
          <w:right w:val="nil"/>
          <w:between w:val="nil"/>
        </w:pBdr>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Respuesta SDQS 2333992023.</w:t>
      </w:r>
    </w:p>
  </w:footnote>
  <w:footnote w:id="10">
    <w:p w:rsidR="004B0482" w:rsidRDefault="004B0482">
      <w:pPr>
        <w:pBdr>
          <w:top w:val="nil"/>
          <w:left w:val="nil"/>
          <w:bottom w:val="nil"/>
          <w:right w:val="nil"/>
          <w:between w:val="nil"/>
        </w:pBdr>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Respuesta SDQS 2334082023</w:t>
      </w:r>
    </w:p>
  </w:footnote>
  <w:footnote w:id="11">
    <w:p w:rsidR="004B0482" w:rsidRDefault="004B0482">
      <w:pPr>
        <w:pBdr>
          <w:top w:val="nil"/>
          <w:left w:val="nil"/>
          <w:bottom w:val="nil"/>
          <w:right w:val="nil"/>
          <w:between w:val="nil"/>
        </w:pBdr>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Respuesta Secretaría de Educación SDQS 2333992023</w:t>
      </w:r>
    </w:p>
  </w:footnote>
  <w:footnote w:id="12">
    <w:p w:rsidR="004B0482" w:rsidRDefault="004B0482">
      <w:pPr>
        <w:pBdr>
          <w:top w:val="nil"/>
          <w:left w:val="nil"/>
          <w:bottom w:val="nil"/>
          <w:right w:val="nil"/>
          <w:between w:val="nil"/>
        </w:pBdr>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Desarrollo infantil y competencias en la Primera Infancia- MEN.</w:t>
      </w:r>
    </w:p>
  </w:footnote>
  <w:footnote w:id="13">
    <w:p w:rsidR="004B0482" w:rsidRDefault="004B0482">
      <w:pPr>
        <w:pBdr>
          <w:top w:val="nil"/>
          <w:left w:val="nil"/>
          <w:bottom w:val="nil"/>
          <w:right w:val="nil"/>
          <w:between w:val="nil"/>
        </w:pBdr>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La primera infancia importa para cada niño-UNICEF</w:t>
      </w:r>
    </w:p>
  </w:footnote>
  <w:footnote w:id="14">
    <w:p w:rsidR="004B0482" w:rsidRDefault="004B0482">
      <w:pPr>
        <w:pBdr>
          <w:top w:val="nil"/>
          <w:left w:val="nil"/>
          <w:bottom w:val="nil"/>
          <w:right w:val="nil"/>
          <w:between w:val="nil"/>
        </w:pBdr>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Ídem Pág. 1</w:t>
      </w:r>
    </w:p>
  </w:footnote>
  <w:footnote w:id="15">
    <w:p w:rsidR="004B0482" w:rsidRDefault="004B0482">
      <w:pPr>
        <w:pBdr>
          <w:top w:val="nil"/>
          <w:left w:val="nil"/>
          <w:bottom w:val="nil"/>
          <w:right w:val="nil"/>
          <w:between w:val="nil"/>
        </w:pBdr>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Ídem Pág. 3</w:t>
      </w:r>
    </w:p>
  </w:footnote>
  <w:footnote w:id="16">
    <w:p w:rsidR="004B0482" w:rsidRDefault="004B0482">
      <w:pPr>
        <w:pBdr>
          <w:top w:val="nil"/>
          <w:left w:val="nil"/>
          <w:bottom w:val="nil"/>
          <w:right w:val="nil"/>
          <w:between w:val="nil"/>
        </w:pBdr>
        <w:rPr>
          <w:rFonts w:ascii="Calibri" w:eastAsia="Calibri" w:hAnsi="Calibri" w:cs="Calibri"/>
          <w:sz w:val="18"/>
          <w:szCs w:val="18"/>
        </w:rPr>
      </w:pPr>
      <w:r>
        <w:rPr>
          <w:vertAlign w:val="superscript"/>
        </w:rPr>
        <w:footnoteRef/>
      </w:r>
      <w:r>
        <w:rPr>
          <w:rFonts w:ascii="Calibri" w:eastAsia="Calibri" w:hAnsi="Calibri" w:cs="Calibri"/>
          <w:sz w:val="18"/>
          <w:szCs w:val="18"/>
        </w:rPr>
        <w:t xml:space="preserve"> Aprendizaje temprano y su importancia en el desarrollo infantil</w:t>
      </w:r>
    </w:p>
  </w:footnote>
  <w:footnote w:id="17">
    <w:p w:rsidR="004B0482" w:rsidRDefault="004B0482">
      <w:pPr>
        <w:pBdr>
          <w:top w:val="nil"/>
          <w:left w:val="nil"/>
          <w:bottom w:val="nil"/>
          <w:right w:val="nil"/>
          <w:between w:val="nil"/>
        </w:pBdr>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Ídem Pág. 1</w:t>
      </w:r>
    </w:p>
  </w:footnote>
  <w:footnote w:id="18">
    <w:p w:rsidR="004B0482" w:rsidRDefault="004B0482">
      <w:pPr>
        <w:pBdr>
          <w:top w:val="nil"/>
          <w:left w:val="nil"/>
          <w:bottom w:val="nil"/>
          <w:right w:val="nil"/>
          <w:between w:val="nil"/>
        </w:pBdr>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Aprendizaje a través del juego- UNICEF</w:t>
      </w:r>
    </w:p>
  </w:footnote>
  <w:footnote w:id="19">
    <w:p w:rsidR="004B0482" w:rsidRDefault="004B0482">
      <w:pPr>
        <w:pBdr>
          <w:top w:val="nil"/>
          <w:left w:val="nil"/>
          <w:bottom w:val="nil"/>
          <w:right w:val="nil"/>
          <w:between w:val="nil"/>
        </w:pBdr>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Ídem Pág. 10</w:t>
      </w:r>
    </w:p>
  </w:footnote>
  <w:footnote w:id="20">
    <w:p w:rsidR="004B0482" w:rsidRDefault="004B0482">
      <w:pPr>
        <w:pBdr>
          <w:top w:val="nil"/>
          <w:left w:val="nil"/>
          <w:bottom w:val="nil"/>
          <w:right w:val="nil"/>
          <w:between w:val="nil"/>
        </w:pBdr>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Ley 2025 del 2020.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482" w:rsidRDefault="004B0482">
    <w:pPr>
      <w:widowControl w:val="0"/>
      <w:pBdr>
        <w:top w:val="nil"/>
        <w:left w:val="nil"/>
        <w:bottom w:val="nil"/>
        <w:right w:val="nil"/>
        <w:between w:val="nil"/>
      </w:pBdr>
      <w:spacing w:line="276" w:lineRule="auto"/>
      <w:jc w:val="center"/>
      <w:rPr>
        <w:sz w:val="20"/>
        <w:szCs w:val="20"/>
      </w:rPr>
    </w:pPr>
    <w:r>
      <w:rPr>
        <w:noProof/>
        <w:sz w:val="18"/>
        <w:szCs w:val="18"/>
        <w:lang w:val="es-419" w:eastAsia="es-419"/>
      </w:rPr>
      <w:drawing>
        <wp:inline distT="0" distB="0" distL="0" distR="0" wp14:anchorId="1A3751B0" wp14:editId="57458A01">
          <wp:extent cx="1080000" cy="1105920"/>
          <wp:effectExtent l="0" t="0" r="0" b="0"/>
          <wp:docPr id="51" name="image6.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6.png" descr="Logo&#10;&#10;Description automatically generated"/>
                  <pic:cNvPicPr preferRelativeResize="0"/>
                </pic:nvPicPr>
                <pic:blipFill>
                  <a:blip r:embed="rId1"/>
                  <a:srcRect/>
                  <a:stretch>
                    <a:fillRect/>
                  </a:stretch>
                </pic:blipFill>
                <pic:spPr>
                  <a:xfrm>
                    <a:off x="0" y="0"/>
                    <a:ext cx="1080000" cy="1105920"/>
                  </a:xfrm>
                  <a:prstGeom prst="rect">
                    <a:avLst/>
                  </a:prstGeom>
                  <a:ln/>
                </pic:spPr>
              </pic:pic>
            </a:graphicData>
          </a:graphic>
        </wp:inline>
      </w:drawing>
    </w:r>
  </w:p>
  <w:p w:rsidR="004B0482" w:rsidRDefault="004B0482">
    <w:pPr>
      <w:pBdr>
        <w:top w:val="nil"/>
        <w:left w:val="nil"/>
        <w:bottom w:val="nil"/>
        <w:right w:val="nil"/>
        <w:between w:val="nil"/>
      </w:pBdr>
      <w:tabs>
        <w:tab w:val="center" w:pos="4419"/>
        <w:tab w:val="right" w:pos="8838"/>
      </w:tabs>
      <w:rPr>
        <w:rFonts w:ascii="Calibri" w:eastAsia="Calibri" w:hAnsi="Calibri" w:cs="Calibri"/>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482" w:rsidRDefault="004B0482">
    <w:pPr>
      <w:spacing w:line="360" w:lineRule="auto"/>
      <w:rPr>
        <w:sz w:val="18"/>
        <w:szCs w:val="18"/>
      </w:rPr>
    </w:pPr>
    <w:r>
      <w:rPr>
        <w:sz w:val="18"/>
        <w:szCs w:val="18"/>
      </w:rPr>
      <w:t xml:space="preserve"> </w:t>
    </w:r>
  </w:p>
  <w:p w:rsidR="004B0482" w:rsidRDefault="004B0482">
    <w:pPr>
      <w:jc w:val="center"/>
    </w:pPr>
    <w:r>
      <w:rPr>
        <w:noProof/>
        <w:lang w:val="es-419" w:eastAsia="es-419"/>
      </w:rPr>
      <w:drawing>
        <wp:inline distT="114300" distB="114300" distL="114300" distR="114300" wp14:anchorId="2C1AE243" wp14:editId="1E66DD36">
          <wp:extent cx="809625" cy="828675"/>
          <wp:effectExtent l="0" t="0" r="0" b="0"/>
          <wp:docPr id="5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809625" cy="82867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482" w:rsidRDefault="004B0482">
    <w:pPr>
      <w:widowControl w:val="0"/>
      <w:pBdr>
        <w:top w:val="nil"/>
        <w:left w:val="nil"/>
        <w:bottom w:val="nil"/>
        <w:right w:val="nil"/>
        <w:between w:val="nil"/>
      </w:pBdr>
      <w:spacing w:line="276" w:lineRule="auto"/>
      <w:rPr>
        <w:rFonts w:ascii="Calibri" w:eastAsia="Calibri" w:hAnsi="Calibri" w:cs="Calibri"/>
        <w:sz w:val="20"/>
        <w:szCs w:val="20"/>
      </w:rPr>
    </w:pPr>
  </w:p>
  <w:tbl>
    <w:tblPr>
      <w:tblStyle w:val="a3"/>
      <w:tblW w:w="8830" w:type="dxa"/>
      <w:tblInd w:w="0" w:type="dxa"/>
      <w:tblLayout w:type="fixed"/>
      <w:tblLook w:val="0000" w:firstRow="0" w:lastRow="0" w:firstColumn="0" w:lastColumn="0" w:noHBand="0" w:noVBand="0"/>
    </w:tblPr>
    <w:tblGrid>
      <w:gridCol w:w="2361"/>
      <w:gridCol w:w="4235"/>
      <w:gridCol w:w="2234"/>
    </w:tblGrid>
    <w:tr w:rsidR="004B0482">
      <w:trPr>
        <w:trHeight w:val="454"/>
      </w:trPr>
      <w:tc>
        <w:tcPr>
          <w:tcW w:w="2361" w:type="dxa"/>
          <w:vMerge w:val="restart"/>
          <w:tcBorders>
            <w:top w:val="single" w:sz="4" w:space="0" w:color="000000"/>
            <w:left w:val="single" w:sz="4" w:space="0" w:color="000000"/>
            <w:right w:val="single" w:sz="4" w:space="0" w:color="000000"/>
          </w:tcBorders>
          <w:vAlign w:val="center"/>
        </w:tcPr>
        <w:p w:rsidR="004B0482" w:rsidRDefault="004B0482">
          <w:pPr>
            <w:jc w:val="center"/>
            <w:rPr>
              <w:sz w:val="16"/>
              <w:szCs w:val="16"/>
            </w:rPr>
          </w:pPr>
          <w:r>
            <w:rPr>
              <w:noProof/>
              <w:lang w:val="es-419" w:eastAsia="es-419"/>
            </w:rPr>
            <w:drawing>
              <wp:anchor distT="0" distB="0" distL="0" distR="0" simplePos="0" relativeHeight="251658240" behindDoc="1" locked="0" layoutInCell="1" hidden="0" allowOverlap="1">
                <wp:simplePos x="0" y="0"/>
                <wp:positionH relativeFrom="column">
                  <wp:posOffset>360680</wp:posOffset>
                </wp:positionH>
                <wp:positionV relativeFrom="paragraph">
                  <wp:posOffset>-43814</wp:posOffset>
                </wp:positionV>
                <wp:extent cx="752475" cy="885825"/>
                <wp:effectExtent l="0" t="0" r="0" b="0"/>
                <wp:wrapNone/>
                <wp:docPr id="211051442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tc>
      <w:tc>
        <w:tcPr>
          <w:tcW w:w="4235" w:type="dxa"/>
          <w:tcBorders>
            <w:top w:val="single" w:sz="4" w:space="0" w:color="000000"/>
            <w:left w:val="nil"/>
            <w:bottom w:val="single" w:sz="4" w:space="0" w:color="000000"/>
            <w:right w:val="single" w:sz="4" w:space="0" w:color="000000"/>
          </w:tcBorders>
          <w:vAlign w:val="center"/>
        </w:tcPr>
        <w:p w:rsidR="004B0482" w:rsidRDefault="004B0482">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4B0482" w:rsidRDefault="004B0482">
          <w:pPr>
            <w:rPr>
              <w:sz w:val="16"/>
              <w:szCs w:val="16"/>
            </w:rPr>
          </w:pPr>
          <w:r>
            <w:rPr>
              <w:sz w:val="16"/>
              <w:szCs w:val="16"/>
            </w:rPr>
            <w:t>CÓDIGO</w:t>
          </w:r>
          <w:r>
            <w:rPr>
              <w:color w:val="3366FF"/>
              <w:sz w:val="16"/>
              <w:szCs w:val="16"/>
            </w:rPr>
            <w:t xml:space="preserve">: </w:t>
          </w:r>
          <w:r>
            <w:rPr>
              <w:sz w:val="16"/>
              <w:szCs w:val="16"/>
            </w:rPr>
            <w:t>GNV-FO-002</w:t>
          </w:r>
        </w:p>
      </w:tc>
    </w:tr>
    <w:tr w:rsidR="004B0482">
      <w:trPr>
        <w:trHeight w:val="454"/>
      </w:trPr>
      <w:tc>
        <w:tcPr>
          <w:tcW w:w="2361" w:type="dxa"/>
          <w:vMerge/>
          <w:tcBorders>
            <w:top w:val="single" w:sz="4" w:space="0" w:color="000000"/>
            <w:left w:val="single" w:sz="4" w:space="0" w:color="000000"/>
            <w:right w:val="single" w:sz="4" w:space="0" w:color="000000"/>
          </w:tcBorders>
          <w:vAlign w:val="center"/>
        </w:tcPr>
        <w:p w:rsidR="004B0482" w:rsidRDefault="004B0482">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rsidR="004B0482" w:rsidRDefault="004B0482">
          <w:pPr>
            <w:jc w:val="center"/>
            <w:rPr>
              <w:sz w:val="20"/>
              <w:szCs w:val="20"/>
            </w:rPr>
          </w:pPr>
          <w:r>
            <w:rPr>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rsidR="004B0482" w:rsidRDefault="004B0482">
          <w:pPr>
            <w:rPr>
              <w:sz w:val="16"/>
              <w:szCs w:val="16"/>
            </w:rPr>
          </w:pPr>
          <w:r>
            <w:rPr>
              <w:sz w:val="16"/>
              <w:szCs w:val="16"/>
            </w:rPr>
            <w:t>VERSIÓN: 01</w:t>
          </w:r>
        </w:p>
      </w:tc>
    </w:tr>
    <w:tr w:rsidR="004B0482">
      <w:trPr>
        <w:trHeight w:val="454"/>
      </w:trPr>
      <w:tc>
        <w:tcPr>
          <w:tcW w:w="2361" w:type="dxa"/>
          <w:vMerge/>
          <w:tcBorders>
            <w:top w:val="single" w:sz="4" w:space="0" w:color="000000"/>
            <w:left w:val="single" w:sz="4" w:space="0" w:color="000000"/>
            <w:right w:val="single" w:sz="4" w:space="0" w:color="000000"/>
          </w:tcBorders>
          <w:vAlign w:val="center"/>
        </w:tcPr>
        <w:p w:rsidR="004B0482" w:rsidRDefault="004B0482">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rsidR="004B0482" w:rsidRDefault="004B0482">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rsidR="004B0482" w:rsidRDefault="004B0482">
          <w:pPr>
            <w:rPr>
              <w:sz w:val="16"/>
              <w:szCs w:val="16"/>
            </w:rPr>
          </w:pPr>
          <w:r>
            <w:rPr>
              <w:sz w:val="16"/>
              <w:szCs w:val="16"/>
            </w:rPr>
            <w:t>FECHA: 14-Nov-2019</w:t>
          </w:r>
        </w:p>
      </w:tc>
    </w:tr>
  </w:tbl>
  <w:p w:rsidR="004B0482" w:rsidRDefault="004B0482">
    <w:pPr>
      <w:pBdr>
        <w:top w:val="nil"/>
        <w:left w:val="nil"/>
        <w:bottom w:val="nil"/>
        <w:right w:val="nil"/>
        <w:between w:val="nil"/>
      </w:pBdr>
      <w:tabs>
        <w:tab w:val="center" w:pos="4252"/>
        <w:tab w:val="right" w:pos="8504"/>
      </w:tabs>
    </w:pPr>
  </w:p>
  <w:p w:rsidR="004B0482" w:rsidRDefault="004B0482">
    <w:pPr>
      <w:pBdr>
        <w:top w:val="nil"/>
        <w:left w:val="nil"/>
        <w:bottom w:val="nil"/>
        <w:right w:val="nil"/>
        <w:between w:val="nil"/>
      </w:pBdr>
      <w:tabs>
        <w:tab w:val="center" w:pos="4252"/>
        <w:tab w:val="right" w:pos="8504"/>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76588"/>
    <w:multiLevelType w:val="hybridMultilevel"/>
    <w:tmpl w:val="78AA839C"/>
    <w:lvl w:ilvl="0" w:tplc="240A000F">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26B732B"/>
    <w:multiLevelType w:val="multilevel"/>
    <w:tmpl w:val="2710DA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844767C"/>
    <w:multiLevelType w:val="multilevel"/>
    <w:tmpl w:val="6C50C06E"/>
    <w:lvl w:ilvl="0">
      <w:start w:val="1"/>
      <w:numFmt w:val="decimal"/>
      <w:lvlText w:val="%1."/>
      <w:lvlJc w:val="left"/>
      <w:pPr>
        <w:ind w:left="720" w:hanging="360"/>
      </w:pPr>
      <w:rPr>
        <w:b/>
        <w:color w:val="000000"/>
      </w:rPr>
    </w:lvl>
    <w:lvl w:ilvl="1">
      <w:start w:val="1"/>
      <w:numFmt w:val="decimal"/>
      <w:lvlText w:val="%1.%2"/>
      <w:lvlJc w:val="left"/>
      <w:pPr>
        <w:ind w:left="720" w:hanging="360"/>
      </w:pPr>
      <w:rPr>
        <w:b/>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3" w15:restartNumberingAfterBreak="0">
    <w:nsid w:val="617C23DE"/>
    <w:multiLevelType w:val="hybridMultilevel"/>
    <w:tmpl w:val="0374DD78"/>
    <w:lvl w:ilvl="0" w:tplc="240A000F">
      <w:start w:val="8"/>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25E02CF"/>
    <w:multiLevelType w:val="multilevel"/>
    <w:tmpl w:val="EE4C72EC"/>
    <w:lvl w:ilvl="0">
      <w:start w:val="1"/>
      <w:numFmt w:val="decimal"/>
      <w:lvlText w:val="%1."/>
      <w:lvlJc w:val="left"/>
      <w:pPr>
        <w:ind w:left="720" w:hanging="360"/>
      </w:pPr>
    </w:lvl>
    <w:lvl w:ilvl="1">
      <w:start w:val="3"/>
      <w:numFmt w:val="decimal"/>
      <w:lvlText w:val="%1.%2"/>
      <w:lvlJc w:val="left"/>
      <w:pPr>
        <w:ind w:left="750" w:hanging="39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 w15:restartNumberingAfterBreak="0">
    <w:nsid w:val="70111368"/>
    <w:multiLevelType w:val="multilevel"/>
    <w:tmpl w:val="7DF0C990"/>
    <w:lvl w:ilvl="0">
      <w:start w:val="3"/>
      <w:numFmt w:val="decimal"/>
      <w:lvlText w:val="%1"/>
      <w:lvlJc w:val="left"/>
      <w:pPr>
        <w:ind w:left="360" w:hanging="360"/>
      </w:pPr>
      <w:rPr>
        <w:rFonts w:hint="default"/>
        <w:sz w:val="22"/>
      </w:rPr>
    </w:lvl>
    <w:lvl w:ilvl="1">
      <w:start w:val="4"/>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2160" w:hanging="108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3240" w:hanging="144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4320" w:hanging="1800"/>
      </w:pPr>
      <w:rPr>
        <w:rFonts w:hint="default"/>
        <w:sz w:val="22"/>
      </w:rPr>
    </w:lvl>
    <w:lvl w:ilvl="8">
      <w:start w:val="1"/>
      <w:numFmt w:val="decimal"/>
      <w:lvlText w:val="%1.%2.%3.%4.%5.%6.%7.%8.%9"/>
      <w:lvlJc w:val="left"/>
      <w:pPr>
        <w:ind w:left="4680" w:hanging="1800"/>
      </w:pPr>
      <w:rPr>
        <w:rFonts w:hint="default"/>
        <w:sz w:val="22"/>
      </w:rPr>
    </w:lvl>
  </w:abstractNum>
  <w:abstractNum w:abstractNumId="6" w15:restartNumberingAfterBreak="0">
    <w:nsid w:val="7AFE39EE"/>
    <w:multiLevelType w:val="multilevel"/>
    <w:tmpl w:val="18B073E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2"/>
  </w:num>
  <w:num w:numId="2">
    <w:abstractNumId w:val="4"/>
  </w:num>
  <w:num w:numId="3">
    <w:abstractNumId w:val="1"/>
  </w:num>
  <w:num w:numId="4">
    <w:abstractNumId w:val="0"/>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EEA"/>
    <w:rsid w:val="00042913"/>
    <w:rsid w:val="000509A4"/>
    <w:rsid w:val="00101936"/>
    <w:rsid w:val="001341BF"/>
    <w:rsid w:val="00181544"/>
    <w:rsid w:val="002D4CCC"/>
    <w:rsid w:val="00322AC2"/>
    <w:rsid w:val="003A39B9"/>
    <w:rsid w:val="00404557"/>
    <w:rsid w:val="004B0482"/>
    <w:rsid w:val="004F7ED1"/>
    <w:rsid w:val="00533CCF"/>
    <w:rsid w:val="00534A6C"/>
    <w:rsid w:val="00542BA5"/>
    <w:rsid w:val="00556C55"/>
    <w:rsid w:val="005B489F"/>
    <w:rsid w:val="005D0684"/>
    <w:rsid w:val="005E4D7E"/>
    <w:rsid w:val="006A68E1"/>
    <w:rsid w:val="00752B1E"/>
    <w:rsid w:val="008B282B"/>
    <w:rsid w:val="008F4626"/>
    <w:rsid w:val="0098402C"/>
    <w:rsid w:val="009C2CBD"/>
    <w:rsid w:val="00A55E4A"/>
    <w:rsid w:val="00AC5736"/>
    <w:rsid w:val="00AD3DFD"/>
    <w:rsid w:val="00AD7EEA"/>
    <w:rsid w:val="00B94D2F"/>
    <w:rsid w:val="00BC4A60"/>
    <w:rsid w:val="00C306EE"/>
    <w:rsid w:val="00C706E4"/>
    <w:rsid w:val="00D43757"/>
    <w:rsid w:val="00E4495F"/>
    <w:rsid w:val="00F1473A"/>
    <w:rsid w:val="00F93C2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6DA43E-FB14-4C42-87A0-DE5503021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MX"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307C"/>
    <w:rPr>
      <w:color w:val="000000"/>
    </w:rPr>
  </w:style>
  <w:style w:type="paragraph" w:styleId="Ttulo1">
    <w:name w:val="heading 1"/>
    <w:basedOn w:val="Normal"/>
    <w:next w:val="Normal"/>
    <w:link w:val="Ttulo1Car"/>
    <w:uiPriority w:val="9"/>
    <w:qFormat/>
    <w:rsid w:val="00AE7E3B"/>
    <w:pPr>
      <w:keepNext/>
      <w:jc w:val="center"/>
      <w:outlineLvl w:val="0"/>
    </w:pPr>
    <w:rPr>
      <w:rFonts w:ascii="Times New Roman" w:hAnsi="Times New Roman"/>
      <w:color w:val="auto"/>
    </w:rPr>
  </w:style>
  <w:style w:type="paragraph" w:styleId="Ttulo2">
    <w:name w:val="heading 2"/>
    <w:basedOn w:val="Normal"/>
    <w:next w:val="Normal"/>
    <w:link w:val="Ttulo2Car"/>
    <w:uiPriority w:val="9"/>
    <w:qFormat/>
    <w:rsid w:val="00AE7E3B"/>
    <w:pPr>
      <w:keepNext/>
      <w:outlineLvl w:val="1"/>
    </w:pPr>
    <w:rPr>
      <w:rFonts w:ascii="Times New Roman" w:hAnsi="Times New Roman"/>
      <w:color w:val="auto"/>
    </w:rPr>
  </w:style>
  <w:style w:type="paragraph" w:styleId="Ttulo3">
    <w:name w:val="heading 3"/>
    <w:basedOn w:val="Normal"/>
    <w:next w:val="Normal"/>
    <w:link w:val="Ttulo3Car"/>
    <w:uiPriority w:val="9"/>
    <w:semiHidden/>
    <w:unhideWhenUsed/>
    <w:qFormat/>
    <w:locked/>
    <w:rsid w:val="007B13A1"/>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ar"/>
    <w:uiPriority w:val="9"/>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
    <w:qFormat/>
    <w:rsid w:val="00776D41"/>
    <w:pPr>
      <w:keepNext/>
      <w:keepLines/>
      <w:spacing w:before="200"/>
      <w:outlineLvl w:val="4"/>
    </w:pPr>
    <w:rPr>
      <w:rFonts w:ascii="Cambria" w:hAnsi="Cambria"/>
      <w:color w:val="243F60"/>
    </w:rPr>
  </w:style>
  <w:style w:type="paragraph" w:styleId="Ttulo6">
    <w:name w:val="heading 6"/>
    <w:basedOn w:val="Normal"/>
    <w:next w:val="Normal"/>
    <w:link w:val="Ttulo6Car"/>
    <w:uiPriority w:val="9"/>
    <w:semiHidden/>
    <w:unhideWhenUsed/>
    <w:qFormat/>
    <w:locked/>
    <w:rsid w:val="000A3C39"/>
    <w:pPr>
      <w:keepNext/>
      <w:keepLines/>
      <w:spacing w:before="200" w:after="40"/>
      <w:outlineLvl w:val="5"/>
    </w:pPr>
    <w:rPr>
      <w:rFonts w:ascii="Times New Roman" w:hAnsi="Times New Roman"/>
      <w:b/>
      <w:color w:val="auto"/>
      <w:sz w:val="20"/>
      <w:szCs w:val="20"/>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locked/>
    <w:rsid w:val="00100643"/>
    <w:pPr>
      <w:keepNext/>
      <w:keepLines/>
      <w:spacing w:before="480" w:after="120"/>
    </w:pPr>
    <w:rPr>
      <w:b/>
      <w:sz w:val="72"/>
      <w:szCs w:val="72"/>
    </w:rPr>
  </w:style>
  <w:style w:type="character" w:customStyle="1" w:styleId="Ttulo1Car">
    <w:name w:val="Título 1 Car"/>
    <w:basedOn w:val="Fuentedeprrafopredeter"/>
    <w:link w:val="Ttulo1"/>
    <w:uiPriority w:val="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
    <w:locked/>
    <w:rsid w:val="0078358A"/>
    <w:rPr>
      <w:rFonts w:ascii="Cambria" w:hAnsi="Cambria" w:cs="Times New Roman"/>
      <w:b/>
      <w:bCs/>
      <w:i/>
      <w:iCs/>
      <w:color w:val="000000"/>
      <w:sz w:val="28"/>
      <w:szCs w:val="28"/>
    </w:rPr>
  </w:style>
  <w:style w:type="character" w:customStyle="1" w:styleId="Ttulo3Car">
    <w:name w:val="Título 3 Car"/>
    <w:basedOn w:val="Fuentedeprrafopredeter"/>
    <w:link w:val="Ttulo3"/>
    <w:uiPriority w:val="9"/>
    <w:semiHidden/>
    <w:rsid w:val="007B13A1"/>
    <w:rPr>
      <w:rFonts w:asciiTheme="majorHAnsi" w:eastAsiaTheme="majorEastAsia" w:hAnsiTheme="majorHAnsi" w:cstheme="majorBidi"/>
      <w:color w:val="243F60" w:themeColor="accent1" w:themeShade="7F"/>
    </w:rPr>
  </w:style>
  <w:style w:type="character" w:customStyle="1" w:styleId="Ttulo4Car">
    <w:name w:val="Título 4 Car"/>
    <w:basedOn w:val="Fuentedeprrafopredeter"/>
    <w:link w:val="Ttulo4"/>
    <w:uiPriority w:val="9"/>
    <w:locked/>
    <w:rsid w:val="00BD4F10"/>
    <w:rPr>
      <w:rFonts w:cs="Times New Roman"/>
      <w:b/>
      <w:sz w:val="28"/>
      <w:lang w:val="es-ES" w:eastAsia="es-ES"/>
    </w:rPr>
  </w:style>
  <w:style w:type="character" w:customStyle="1" w:styleId="Ttulo5Car">
    <w:name w:val="Título 5 Car"/>
    <w:basedOn w:val="Fuentedeprrafopredeter"/>
    <w:link w:val="Ttulo5"/>
    <w:uiPriority w:val="9"/>
    <w:semiHidden/>
    <w:locked/>
    <w:rsid w:val="00776D41"/>
    <w:rPr>
      <w:rFonts w:ascii="Cambria" w:hAnsi="Cambria" w:cs="Times New Roman"/>
      <w:color w:val="243F60"/>
      <w:sz w:val="24"/>
      <w:lang w:val="es-ES" w:eastAsia="es-ES"/>
    </w:rPr>
  </w:style>
  <w:style w:type="paragraph" w:styleId="Encabezado">
    <w:name w:val="header"/>
    <w:aliases w:val="Haut de page,Car"/>
    <w:basedOn w:val="Normal"/>
    <w:link w:val="EncabezadoCar"/>
    <w:uiPriority w:val="99"/>
    <w:rsid w:val="00AE7E3B"/>
    <w:pPr>
      <w:tabs>
        <w:tab w:val="center" w:pos="4252"/>
        <w:tab w:val="right" w:pos="8504"/>
      </w:tabs>
    </w:pPr>
  </w:style>
  <w:style w:type="character" w:customStyle="1" w:styleId="EncabezadoCar">
    <w:name w:val="Encabezado Car"/>
    <w:aliases w:val="Haut de page Car,Car Car"/>
    <w:basedOn w:val="Fuentedeprrafopredeter"/>
    <w:link w:val="Encabezado"/>
    <w:uiPriority w:val="99"/>
    <w:locked/>
    <w:rsid w:val="0078358A"/>
    <w:rPr>
      <w:rFonts w:ascii="Arial" w:hAnsi="Arial" w:cs="Times New Roman"/>
      <w:color w:val="000000"/>
      <w:sz w:val="20"/>
      <w:szCs w:val="20"/>
    </w:rPr>
  </w:style>
  <w:style w:type="paragraph" w:styleId="Piedepgina">
    <w:name w:val="footer"/>
    <w:basedOn w:val="Normal"/>
    <w:link w:val="PiedepginaCar"/>
    <w:uiPriority w:val="99"/>
    <w:rsid w:val="00AE7E3B"/>
    <w:pPr>
      <w:tabs>
        <w:tab w:val="center" w:pos="4252"/>
        <w:tab w:val="right" w:pos="8504"/>
      </w:tabs>
    </w:pPr>
  </w:style>
  <w:style w:type="character" w:customStyle="1" w:styleId="PiedepginaCar">
    <w:name w:val="Pie de página Car"/>
    <w:basedOn w:val="Fuentedeprrafopredeter"/>
    <w:link w:val="Piedepgina"/>
    <w:uiPriority w:val="99"/>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rPr>
  </w:style>
  <w:style w:type="character" w:customStyle="1" w:styleId="TextoindependienteCar">
    <w:name w:val="Texto independiente Car"/>
    <w:basedOn w:val="Fuentedeprrafopredeter"/>
    <w:link w:val="Textoindependiente"/>
    <w:uiPriority w:val="99"/>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3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aliases w:val="Ha,Resume Title,List1,LISTA,Párrafo de lista1,Párrafo de lista2,Bullet List,FooterText,numbered,List Paragraph1,Paragraphe de liste1,lp1,HOJA,Colorful List Accent 1,Colorful List - Accent 11,titulo 3,Colorful List - Accent 111,Bullets"/>
    <w:basedOn w:val="Normal"/>
    <w:link w:val="PrrafodelistaCar"/>
    <w:uiPriority w:val="34"/>
    <w:qFormat/>
    <w:rsid w:val="005C3311"/>
    <w:pPr>
      <w:ind w:left="708"/>
    </w:pPr>
  </w:style>
  <w:style w:type="character" w:customStyle="1" w:styleId="PrrafodelistaCar">
    <w:name w:val="Párrafo de lista Car"/>
    <w:aliases w:val="Ha Car,Resume Title Car,List1 Car,LISTA Car,Párrafo de lista1 Car,Párrafo de lista2 Car,Bullet List Car,FooterText Car,numbered Car,List Paragraph1 Car,Paragraphe de liste1 Car,lp1 Car,HOJA Car,Colorful List Accent 1 Car,Bullets Car"/>
    <w:link w:val="Prrafodelista"/>
    <w:uiPriority w:val="34"/>
    <w:qFormat/>
    <w:rsid w:val="001A428F"/>
    <w:rPr>
      <w:rFonts w:ascii="Arial" w:hAnsi="Arial"/>
      <w:color w:val="000000"/>
    </w:r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customStyle="1" w:styleId="Textoindependiente21">
    <w:name w:val="Texto independiente 21"/>
    <w:basedOn w:val="Normal"/>
    <w:rsid w:val="00CE2305"/>
    <w:pPr>
      <w:suppressAutoHyphens/>
      <w:jc w:val="center"/>
    </w:pPr>
    <w:rPr>
      <w:color w:val="auto"/>
      <w:spacing w:val="-3"/>
      <w:lang w:val="es-ES_tradnl"/>
    </w:rPr>
  </w:style>
  <w:style w:type="paragraph" w:customStyle="1" w:styleId="Textodenotaalfinal">
    <w:name w:val="Texto de nota al final"/>
    <w:basedOn w:val="Normal"/>
    <w:rsid w:val="00CE2305"/>
    <w:pPr>
      <w:widowControl w:val="0"/>
      <w:autoSpaceDE w:val="0"/>
      <w:autoSpaceDN w:val="0"/>
    </w:pPr>
    <w:rPr>
      <w:rFonts w:ascii="Courier New" w:hAnsi="Courier New"/>
      <w:color w:val="auto"/>
    </w:rPr>
  </w:style>
  <w:style w:type="paragraph" w:styleId="Sinespaciado">
    <w:name w:val="No Spacing"/>
    <w:link w:val="SinespaciadoCar"/>
    <w:uiPriority w:val="1"/>
    <w:qFormat/>
    <w:rsid w:val="00CE2305"/>
  </w:style>
  <w:style w:type="character" w:customStyle="1" w:styleId="SinespaciadoCar">
    <w:name w:val="Sin espaciado Car"/>
    <w:link w:val="Sinespaciado"/>
    <w:rsid w:val="001A428F"/>
    <w:rPr>
      <w:rFonts w:ascii="Arial" w:hAnsi="Arial"/>
    </w:rPr>
  </w:style>
  <w:style w:type="paragraph" w:customStyle="1" w:styleId="EpgrafeSUBTITULO2">
    <w:name w:val="Epígrafe SUBTITULO 2"/>
    <w:basedOn w:val="Normal"/>
    <w:next w:val="Normal"/>
    <w:qFormat/>
    <w:rsid w:val="00CE2305"/>
    <w:pPr>
      <w:spacing w:before="240" w:after="60"/>
      <w:jc w:val="center"/>
      <w:outlineLvl w:val="0"/>
    </w:pPr>
    <w:rPr>
      <w:rFonts w:ascii="Times New Roman" w:hAnsi="Times New Roman"/>
      <w:b/>
      <w:bCs/>
      <w:color w:val="auto"/>
      <w:kern w:val="28"/>
      <w:sz w:val="28"/>
      <w:szCs w:val="32"/>
      <w:lang w:eastAsia="es-MX"/>
    </w:rPr>
  </w:style>
  <w:style w:type="paragraph" w:customStyle="1" w:styleId="Default">
    <w:name w:val="Default"/>
    <w:rsid w:val="00CE2305"/>
    <w:pPr>
      <w:autoSpaceDE w:val="0"/>
      <w:autoSpaceDN w:val="0"/>
      <w:adjustRightInd w:val="0"/>
    </w:pPr>
    <w:rPr>
      <w:rFonts w:eastAsia="Calibri"/>
      <w:color w:val="000000"/>
      <w:lang w:val="es-CO" w:eastAsia="en-US"/>
    </w:rPr>
  </w:style>
  <w:style w:type="paragraph" w:styleId="Descripcin">
    <w:name w:val="caption"/>
    <w:basedOn w:val="Normal"/>
    <w:next w:val="Normal"/>
    <w:uiPriority w:val="35"/>
    <w:unhideWhenUsed/>
    <w:qFormat/>
    <w:locked/>
    <w:rsid w:val="00ED3A7F"/>
    <w:pPr>
      <w:spacing w:after="200"/>
    </w:pPr>
    <w:rPr>
      <w:rFonts w:asciiTheme="minorHAnsi" w:eastAsiaTheme="minorHAnsi" w:hAnsiTheme="minorHAnsi" w:cstheme="minorBidi"/>
      <w:i/>
      <w:iCs/>
      <w:color w:val="1F497D" w:themeColor="text2"/>
      <w:sz w:val="18"/>
      <w:szCs w:val="18"/>
      <w:lang w:eastAsia="en-US"/>
    </w:rPr>
  </w:style>
  <w:style w:type="paragraph" w:styleId="NormalWeb">
    <w:name w:val="Normal (Web)"/>
    <w:basedOn w:val="Normal"/>
    <w:uiPriority w:val="99"/>
    <w:unhideWhenUsed/>
    <w:rsid w:val="00C17881"/>
    <w:pPr>
      <w:spacing w:before="100" w:beforeAutospacing="1" w:after="100" w:afterAutospacing="1"/>
    </w:pPr>
    <w:rPr>
      <w:rFonts w:ascii="Times New Roman" w:hAnsi="Times New Roman"/>
      <w:color w:val="auto"/>
      <w:lang w:val="es-CO"/>
    </w:rPr>
  </w:style>
  <w:style w:type="paragraph" w:styleId="Textonotapie">
    <w:name w:val="footnote text"/>
    <w:aliases w:val="Texto nota pie Car Car Car Car Car Car,Texto nota pie Car Car Car Car Car,Texto nota pie Car Car Car Car,Texto nota pie Car Car Car Car Car Car Car Car,Texto nota pie Car Car Car Car Car Ca,Texto nota pie Car Car Car Car Car Car Car,FA Fu"/>
    <w:basedOn w:val="Normal"/>
    <w:link w:val="TextonotapieCar"/>
    <w:uiPriority w:val="99"/>
    <w:unhideWhenUsed/>
    <w:rsid w:val="00C17881"/>
    <w:rPr>
      <w:rFonts w:asciiTheme="minorHAnsi" w:eastAsiaTheme="minorHAnsi" w:hAnsiTheme="minorHAnsi" w:cstheme="minorBidi"/>
      <w:color w:val="auto"/>
      <w:sz w:val="20"/>
      <w:lang w:val="es-CO" w:eastAsia="en-US"/>
    </w:rPr>
  </w:style>
  <w:style w:type="character" w:customStyle="1" w:styleId="TextonotapieCar">
    <w:name w:val="Texto nota pie Car"/>
    <w:aliases w:val="Texto nota pie Car Car Car Car Car Car Car1,Texto nota pie Car Car Car Car Car Car1,Texto nota pie Car Car Car Car Car1,Texto nota pie Car Car Car Car Car Car Car Car Car,Texto nota pie Car Car Car Car Car Ca Car,FA Fu Car"/>
    <w:basedOn w:val="Fuentedeprrafopredeter"/>
    <w:link w:val="Textonotapie"/>
    <w:uiPriority w:val="99"/>
    <w:rsid w:val="00C17881"/>
    <w:rPr>
      <w:rFonts w:asciiTheme="minorHAnsi" w:eastAsiaTheme="minorHAnsi" w:hAnsiTheme="minorHAnsi" w:cstheme="minorBidi"/>
      <w:lang w:val="es-CO" w:eastAsia="en-US"/>
    </w:rPr>
  </w:style>
  <w:style w:type="character" w:styleId="Refdenotaalpie">
    <w:name w:val="footnote reference"/>
    <w:basedOn w:val="Fuentedeprrafopredeter"/>
    <w:uiPriority w:val="99"/>
    <w:unhideWhenUsed/>
    <w:rsid w:val="00C17881"/>
    <w:rPr>
      <w:vertAlign w:val="superscript"/>
    </w:rPr>
  </w:style>
  <w:style w:type="paragraph" w:styleId="Asuntodelcomentario">
    <w:name w:val="annotation subject"/>
    <w:basedOn w:val="Textocomentario"/>
    <w:next w:val="Textocomentario"/>
    <w:link w:val="AsuntodelcomentarioCar"/>
    <w:uiPriority w:val="99"/>
    <w:semiHidden/>
    <w:unhideWhenUsed/>
    <w:rsid w:val="00942DE4"/>
    <w:rPr>
      <w:b/>
      <w:bCs/>
    </w:rPr>
  </w:style>
  <w:style w:type="character" w:customStyle="1" w:styleId="AsuntodelcomentarioCar">
    <w:name w:val="Asunto del comentario Car"/>
    <w:basedOn w:val="TextocomentarioCar"/>
    <w:link w:val="Asuntodelcomentario"/>
    <w:uiPriority w:val="99"/>
    <w:semiHidden/>
    <w:rsid w:val="00942DE4"/>
    <w:rPr>
      <w:rFonts w:ascii="Arial" w:hAnsi="Arial" w:cs="Times New Roman"/>
      <w:b/>
      <w:bCs/>
      <w:color w:val="000000"/>
      <w:sz w:val="20"/>
      <w:szCs w:val="20"/>
    </w:rPr>
  </w:style>
  <w:style w:type="character" w:styleId="nfasis">
    <w:name w:val="Emphasis"/>
    <w:basedOn w:val="Fuentedeprrafopredeter"/>
    <w:uiPriority w:val="20"/>
    <w:qFormat/>
    <w:locked/>
    <w:rsid w:val="00FD6700"/>
    <w:rPr>
      <w:i/>
      <w:iCs/>
    </w:rPr>
  </w:style>
  <w:style w:type="paragraph" w:styleId="Revisin">
    <w:name w:val="Revision"/>
    <w:hidden/>
    <w:uiPriority w:val="99"/>
    <w:semiHidden/>
    <w:rsid w:val="006145F1"/>
    <w:rPr>
      <w:color w:val="000000"/>
    </w:rPr>
  </w:style>
  <w:style w:type="paragraph" w:customStyle="1" w:styleId="contenido">
    <w:name w:val="contenido"/>
    <w:basedOn w:val="Normal"/>
    <w:rsid w:val="00432506"/>
    <w:pPr>
      <w:spacing w:before="100" w:beforeAutospacing="1" w:after="100" w:afterAutospacing="1"/>
    </w:pPr>
    <w:rPr>
      <w:rFonts w:ascii="Times New Roman" w:hAnsi="Times New Roman"/>
      <w:color w:val="auto"/>
      <w:lang w:val="es-CO"/>
    </w:rPr>
  </w:style>
  <w:style w:type="character" w:styleId="Textoennegrita">
    <w:name w:val="Strong"/>
    <w:basedOn w:val="Fuentedeprrafopredeter"/>
    <w:uiPriority w:val="22"/>
    <w:qFormat/>
    <w:locked/>
    <w:rsid w:val="00432506"/>
    <w:rPr>
      <w:b/>
      <w:bCs/>
    </w:rPr>
  </w:style>
  <w:style w:type="paragraph" w:styleId="Cita">
    <w:name w:val="Quote"/>
    <w:basedOn w:val="Normal"/>
    <w:next w:val="Normal"/>
    <w:link w:val="CitaCar"/>
    <w:uiPriority w:val="29"/>
    <w:qFormat/>
    <w:rsid w:val="00280BDF"/>
    <w:pPr>
      <w:spacing w:before="200" w:after="160"/>
      <w:ind w:left="864" w:right="864"/>
      <w:jc w:val="center"/>
    </w:pPr>
    <w:rPr>
      <w:i/>
      <w:iCs/>
      <w:color w:val="404040" w:themeColor="text1" w:themeTint="BF"/>
    </w:rPr>
  </w:style>
  <w:style w:type="character" w:customStyle="1" w:styleId="CitaCar">
    <w:name w:val="Cita Car"/>
    <w:basedOn w:val="Fuentedeprrafopredeter"/>
    <w:link w:val="Cita"/>
    <w:uiPriority w:val="29"/>
    <w:rsid w:val="00280BDF"/>
    <w:rPr>
      <w:rFonts w:ascii="Arial" w:eastAsia="Arial" w:hAnsi="Arial" w:cs="Arial"/>
      <w:i/>
      <w:iCs/>
      <w:color w:val="404040" w:themeColor="text1" w:themeTint="BF"/>
    </w:rPr>
  </w:style>
  <w:style w:type="table" w:styleId="Tabladelista3">
    <w:name w:val="List Table 3"/>
    <w:basedOn w:val="Tablanormal"/>
    <w:uiPriority w:val="48"/>
    <w:rsid w:val="00786410"/>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TtuloCar">
    <w:name w:val="Título Car"/>
    <w:basedOn w:val="Fuentedeprrafopredeter"/>
    <w:link w:val="Ttulo"/>
    <w:uiPriority w:val="10"/>
    <w:rsid w:val="00100643"/>
    <w:rPr>
      <w:rFonts w:ascii="Arial" w:eastAsia="Arial" w:hAnsi="Arial" w:cs="Arial"/>
      <w:b/>
      <w:color w:val="000000"/>
      <w:sz w:val="72"/>
      <w:szCs w:val="72"/>
    </w:rPr>
  </w:style>
  <w:style w:type="table" w:styleId="Tabladecuadrcula3-nfasis6">
    <w:name w:val="Grid Table 3 Accent 6"/>
    <w:basedOn w:val="Tablanormal"/>
    <w:uiPriority w:val="48"/>
    <w:rsid w:val="00100643"/>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Textonotaalfinal">
    <w:name w:val="endnote text"/>
    <w:basedOn w:val="Normal"/>
    <w:link w:val="TextonotaalfinalCar"/>
    <w:uiPriority w:val="99"/>
    <w:semiHidden/>
    <w:unhideWhenUsed/>
    <w:rsid w:val="00A75645"/>
    <w:rPr>
      <w:sz w:val="20"/>
      <w:szCs w:val="20"/>
    </w:rPr>
  </w:style>
  <w:style w:type="character" w:customStyle="1" w:styleId="TextonotaalfinalCar">
    <w:name w:val="Texto nota al final Car"/>
    <w:basedOn w:val="Fuentedeprrafopredeter"/>
    <w:link w:val="Textonotaalfinal"/>
    <w:uiPriority w:val="99"/>
    <w:semiHidden/>
    <w:rsid w:val="00A75645"/>
    <w:rPr>
      <w:rFonts w:ascii="Arial" w:hAnsi="Arial"/>
      <w:color w:val="000000"/>
      <w:sz w:val="20"/>
      <w:szCs w:val="20"/>
    </w:rPr>
  </w:style>
  <w:style w:type="character" w:styleId="Refdenotaalfinal">
    <w:name w:val="endnote reference"/>
    <w:basedOn w:val="Fuentedeprrafopredeter"/>
    <w:uiPriority w:val="99"/>
    <w:semiHidden/>
    <w:unhideWhenUsed/>
    <w:rsid w:val="00A75645"/>
    <w:rPr>
      <w:vertAlign w:val="superscript"/>
    </w:rPr>
  </w:style>
  <w:style w:type="paragraph" w:styleId="Sangra2detindependiente">
    <w:name w:val="Body Text Indent 2"/>
    <w:basedOn w:val="Normal"/>
    <w:link w:val="Sangra2detindependienteCar"/>
    <w:uiPriority w:val="99"/>
    <w:unhideWhenUsed/>
    <w:rsid w:val="001A428F"/>
    <w:pPr>
      <w:spacing w:after="120" w:line="480" w:lineRule="auto"/>
      <w:ind w:left="283"/>
    </w:pPr>
    <w:rPr>
      <w:szCs w:val="20"/>
    </w:rPr>
  </w:style>
  <w:style w:type="character" w:customStyle="1" w:styleId="Sangra2detindependienteCar">
    <w:name w:val="Sangría 2 de t. independiente Car"/>
    <w:basedOn w:val="Fuentedeprrafopredeter"/>
    <w:link w:val="Sangra2detindependiente"/>
    <w:uiPriority w:val="99"/>
    <w:rsid w:val="001A428F"/>
    <w:rPr>
      <w:rFonts w:ascii="Arial" w:hAnsi="Arial"/>
      <w:color w:val="000000"/>
      <w:szCs w:val="20"/>
    </w:rPr>
  </w:style>
  <w:style w:type="character" w:customStyle="1" w:styleId="reference-text">
    <w:name w:val="reference-text"/>
    <w:basedOn w:val="Fuentedeprrafopredeter"/>
    <w:rsid w:val="00FA594B"/>
  </w:style>
  <w:style w:type="character" w:customStyle="1" w:styleId="Ttulo6Car">
    <w:name w:val="Título 6 Car"/>
    <w:basedOn w:val="Fuentedeprrafopredeter"/>
    <w:link w:val="Ttulo6"/>
    <w:uiPriority w:val="9"/>
    <w:semiHidden/>
    <w:rsid w:val="000A3C39"/>
    <w:rPr>
      <w:b/>
      <w:sz w:val="20"/>
      <w:szCs w:val="20"/>
      <w:lang w:val="es-CO" w:eastAsia="es-CO"/>
    </w:rPr>
  </w:style>
  <w:style w:type="paragraph" w:styleId="Subttulo">
    <w:name w:val="Subtitle"/>
    <w:basedOn w:val="Normal"/>
    <w:next w:val="Normal"/>
    <w:link w:val="SubttuloCar"/>
    <w:pPr>
      <w:keepNext/>
      <w:keepLines/>
      <w:spacing w:before="360" w:after="80"/>
    </w:pPr>
    <w:rPr>
      <w:rFonts w:ascii="Georgia" w:eastAsia="Georgia" w:hAnsi="Georgia" w:cs="Georgia"/>
      <w:i/>
      <w:color w:val="666666"/>
      <w:sz w:val="48"/>
      <w:szCs w:val="48"/>
    </w:rPr>
  </w:style>
  <w:style w:type="character" w:customStyle="1" w:styleId="SubttuloCar">
    <w:name w:val="Subtítulo Car"/>
    <w:basedOn w:val="Fuentedeprrafopredeter"/>
    <w:link w:val="Subttulo"/>
    <w:uiPriority w:val="11"/>
    <w:rsid w:val="000A3C39"/>
    <w:rPr>
      <w:rFonts w:ascii="Georgia" w:eastAsia="Georgia" w:hAnsi="Georgia" w:cs="Georgia"/>
      <w:i/>
      <w:color w:val="666666"/>
      <w:sz w:val="48"/>
      <w:szCs w:val="48"/>
      <w:lang w:val="es-CO" w:eastAsia="es-CO"/>
    </w:rPr>
  </w:style>
  <w:style w:type="character" w:customStyle="1" w:styleId="hgkelc">
    <w:name w:val="hgkelc"/>
    <w:basedOn w:val="Fuentedeprrafopredeter"/>
    <w:rsid w:val="00DB7B2C"/>
  </w:style>
  <w:style w:type="paragraph" w:customStyle="1" w:styleId="centrado">
    <w:name w:val="centrado"/>
    <w:basedOn w:val="Normal"/>
    <w:rsid w:val="00DB7B2C"/>
    <w:pPr>
      <w:spacing w:before="100" w:beforeAutospacing="1" w:after="100" w:afterAutospacing="1"/>
    </w:pPr>
    <w:rPr>
      <w:rFonts w:ascii="Times New Roman" w:hAnsi="Times New Roman"/>
      <w:color w:val="auto"/>
      <w:lang w:val="es-ES_tradnl" w:eastAsia="es-ES_tradnl"/>
    </w:rPr>
  </w:style>
  <w:style w:type="character" w:customStyle="1" w:styleId="Mencinsinresolver1">
    <w:name w:val="Mención sin resolver1"/>
    <w:basedOn w:val="Fuentedeprrafopredeter"/>
    <w:uiPriority w:val="99"/>
    <w:semiHidden/>
    <w:unhideWhenUsed/>
    <w:rsid w:val="003A689B"/>
    <w:rPr>
      <w:color w:val="605E5C"/>
      <w:shd w:val="clear" w:color="auto" w:fill="E1DFDD"/>
    </w:rPr>
  </w:style>
  <w:style w:type="character" w:customStyle="1" w:styleId="UnresolvedMention">
    <w:name w:val="Unresolved Mention"/>
    <w:basedOn w:val="Fuentedeprrafopredeter"/>
    <w:uiPriority w:val="99"/>
    <w:semiHidden/>
    <w:unhideWhenUsed/>
    <w:rsid w:val="003A689B"/>
    <w:rPr>
      <w:color w:val="605E5C"/>
      <w:shd w:val="clear" w:color="auto" w:fill="E1DFDD"/>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oter" Target="footer4.xml"/><Relationship Id="rId10" Type="http://schemas.openxmlformats.org/officeDocument/2006/relationships/footer" Target="footer1.xml"/><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3.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PaOuBrL/Hq9E1vRuWgFzjjyNw==">CgMxLjAyCGguZ2pkZ3hzMgloLjMwajB6bGwyCWguMWZvYjl0ZTgAciExaVpWdmF6UE53U0ZFbmNfZ3g3dEhuOE5uWlJILWFxMno=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36</Pages>
  <Words>9792</Words>
  <Characters>53858</Characters>
  <Application>Microsoft Office Word</Application>
  <DocSecurity>0</DocSecurity>
  <Lines>448</Lines>
  <Paragraphs>127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WILSON L. MORENO C.</dc:creator>
  <cp:lastModifiedBy>ANA YOLANDA DURAN RODRIGUEZ</cp:lastModifiedBy>
  <cp:revision>3</cp:revision>
  <cp:lastPrinted>2025-02-10T16:29:00Z</cp:lastPrinted>
  <dcterms:created xsi:type="dcterms:W3CDTF">2025-05-12T15:13:00Z</dcterms:created>
  <dcterms:modified xsi:type="dcterms:W3CDTF">2025-05-12T15:28:00Z</dcterms:modified>
</cp:coreProperties>
</file>